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3D80F" w14:textId="77777777" w:rsidR="00D43C39" w:rsidRDefault="00D43C39" w:rsidP="000548E3">
      <w:pPr>
        <w:pStyle w:val="EDFTitreDocument"/>
        <w:jc w:val="both"/>
      </w:pPr>
    </w:p>
    <w:p w14:paraId="6B44B075" w14:textId="77777777" w:rsidR="00D43C39" w:rsidRPr="004459F1" w:rsidRDefault="00D43C39" w:rsidP="000548E3">
      <w:pPr>
        <w:pStyle w:val="EDFTitreDocument"/>
        <w:jc w:val="both"/>
        <w:rPr>
          <w:b w:val="0"/>
        </w:rPr>
      </w:pPr>
    </w:p>
    <w:p w14:paraId="45325FC1" w14:textId="77777777" w:rsidR="00D43C39" w:rsidRDefault="00D43C39" w:rsidP="000548E3">
      <w:pPr>
        <w:pStyle w:val="EDFTitreDocument"/>
        <w:jc w:val="both"/>
      </w:pPr>
    </w:p>
    <w:p w14:paraId="389054A4" w14:textId="77777777" w:rsidR="00D43C39" w:rsidRDefault="00D43C39" w:rsidP="000548E3">
      <w:pPr>
        <w:pStyle w:val="EDFTitreDocument"/>
        <w:jc w:val="both"/>
      </w:pPr>
    </w:p>
    <w:p w14:paraId="140BF624" w14:textId="77777777" w:rsidR="00D43C39" w:rsidRDefault="00D43C39" w:rsidP="000548E3">
      <w:pPr>
        <w:pStyle w:val="EDFTitreDocument"/>
        <w:jc w:val="both"/>
      </w:pPr>
    </w:p>
    <w:p w14:paraId="29EE7F66" w14:textId="77777777" w:rsidR="00D43C39" w:rsidRDefault="00D43C39" w:rsidP="000548E3">
      <w:pPr>
        <w:pStyle w:val="EDFTitreDocument"/>
        <w:jc w:val="both"/>
      </w:pPr>
    </w:p>
    <w:p w14:paraId="3D9A27FF" w14:textId="77777777" w:rsidR="00D43C39" w:rsidRDefault="00D43C39" w:rsidP="000548E3">
      <w:pPr>
        <w:pStyle w:val="EDFTitreDocument"/>
        <w:jc w:val="both"/>
      </w:pPr>
    </w:p>
    <w:p w14:paraId="5DFD4776" w14:textId="44E7A9A2" w:rsidR="007C0468" w:rsidRDefault="007C0468" w:rsidP="004B0CD4">
      <w:pPr>
        <w:pStyle w:val="EDFTitreDocument"/>
        <w:jc w:val="center"/>
        <w:rPr>
          <w:sz w:val="40"/>
        </w:rPr>
      </w:pPr>
      <w:r w:rsidRPr="00DA2F93">
        <w:rPr>
          <w:sz w:val="40"/>
        </w:rPr>
        <w:t xml:space="preserve">Contrat </w:t>
      </w:r>
      <w:r w:rsidR="00A07559">
        <w:rPr>
          <w:sz w:val="40"/>
        </w:rPr>
        <w:t>DE MISE A DISPOSITION DU STOCK d’ENERGIE</w:t>
      </w:r>
    </w:p>
    <w:p w14:paraId="3422D792" w14:textId="77777777" w:rsidR="00A07559" w:rsidRDefault="00A07559" w:rsidP="004B0CD4">
      <w:pPr>
        <w:pStyle w:val="EDFTitreDocument"/>
        <w:jc w:val="center"/>
        <w:rPr>
          <w:sz w:val="40"/>
        </w:rPr>
      </w:pPr>
    </w:p>
    <w:p w14:paraId="5F74FF8C" w14:textId="358DB799" w:rsidR="00A07559" w:rsidRPr="00DA2F93" w:rsidRDefault="00A07559" w:rsidP="004B0CD4">
      <w:pPr>
        <w:pStyle w:val="EDFTitreDocument"/>
        <w:jc w:val="center"/>
        <w:rPr>
          <w:sz w:val="40"/>
        </w:rPr>
      </w:pPr>
      <w:r>
        <w:rPr>
          <w:sz w:val="40"/>
        </w:rPr>
        <w:t>PAR</w:t>
      </w:r>
      <w:r w:rsidRPr="00DA2F93">
        <w:rPr>
          <w:sz w:val="40"/>
        </w:rPr>
        <w:t xml:space="preserve"> </w:t>
      </w:r>
      <w:r w:rsidRPr="00B361C0">
        <w:rPr>
          <w:sz w:val="40"/>
          <w:highlight w:val="lightGray"/>
        </w:rPr>
        <w:t>XXX</w:t>
      </w:r>
    </w:p>
    <w:p w14:paraId="0153AA59" w14:textId="77777777" w:rsidR="00A07559" w:rsidRDefault="00A07559" w:rsidP="004B0CD4">
      <w:pPr>
        <w:pStyle w:val="EDFTitreDocument"/>
        <w:jc w:val="center"/>
        <w:rPr>
          <w:sz w:val="40"/>
        </w:rPr>
      </w:pPr>
    </w:p>
    <w:p w14:paraId="58AB744D" w14:textId="18C93BAE" w:rsidR="007C0468" w:rsidRPr="00DA2F93" w:rsidRDefault="00A07559" w:rsidP="004B0CD4">
      <w:pPr>
        <w:pStyle w:val="EDFTitreDocument"/>
        <w:jc w:val="center"/>
        <w:rPr>
          <w:sz w:val="40"/>
        </w:rPr>
      </w:pPr>
      <w:r>
        <w:rPr>
          <w:sz w:val="40"/>
        </w:rPr>
        <w:t>A</w:t>
      </w:r>
      <w:r w:rsidRPr="00DA2F93">
        <w:rPr>
          <w:sz w:val="40"/>
        </w:rPr>
        <w:t xml:space="preserve"> </w:t>
      </w:r>
      <w:r w:rsidR="00B361C0">
        <w:rPr>
          <w:sz w:val="40"/>
        </w:rPr>
        <w:t>ENERCAL</w:t>
      </w:r>
    </w:p>
    <w:p w14:paraId="4499802B" w14:textId="77777777" w:rsidR="007C0468" w:rsidRPr="00DA2F93" w:rsidRDefault="007C0468" w:rsidP="004B0CD4">
      <w:pPr>
        <w:pStyle w:val="EDFTitreDocument"/>
        <w:jc w:val="center"/>
        <w:rPr>
          <w:sz w:val="40"/>
        </w:rPr>
      </w:pPr>
    </w:p>
    <w:p w14:paraId="4FD6D56D" w14:textId="06639668" w:rsidR="007C0468" w:rsidRPr="00DA2F93" w:rsidRDefault="007C0468" w:rsidP="004B0CD4">
      <w:pPr>
        <w:pStyle w:val="EDFTitreDocument"/>
        <w:jc w:val="center"/>
        <w:rPr>
          <w:sz w:val="40"/>
        </w:rPr>
      </w:pPr>
    </w:p>
    <w:p w14:paraId="7FC68E56" w14:textId="77777777" w:rsidR="007C0468" w:rsidRPr="00DA2F93" w:rsidRDefault="007C0468" w:rsidP="004B0CD4">
      <w:pPr>
        <w:pStyle w:val="EDFTitreDocument"/>
        <w:jc w:val="center"/>
        <w:rPr>
          <w:sz w:val="40"/>
        </w:rPr>
      </w:pPr>
    </w:p>
    <w:p w14:paraId="7F4F6DFA" w14:textId="6EF169D7" w:rsidR="007C0468" w:rsidRPr="00DA2F93" w:rsidRDefault="007C0468" w:rsidP="004B0CD4">
      <w:pPr>
        <w:pStyle w:val="EDFTitreDocument"/>
        <w:jc w:val="center"/>
        <w:rPr>
          <w:sz w:val="40"/>
        </w:rPr>
      </w:pPr>
      <w:r w:rsidRPr="00DA2F93">
        <w:rPr>
          <w:sz w:val="40"/>
        </w:rPr>
        <w:t>Pour l</w:t>
      </w:r>
      <w:r w:rsidR="00473A80" w:rsidRPr="00DA2F93">
        <w:rPr>
          <w:sz w:val="40"/>
        </w:rPr>
        <w:t>’</w:t>
      </w:r>
      <w:r w:rsidR="003E6AAE" w:rsidRPr="00DA2F93">
        <w:rPr>
          <w:sz w:val="40"/>
        </w:rPr>
        <w:t>installation</w:t>
      </w:r>
      <w:r w:rsidR="00473A80" w:rsidRPr="00DA2F93">
        <w:rPr>
          <w:sz w:val="40"/>
        </w:rPr>
        <w:t xml:space="preserve"> de stockage</w:t>
      </w:r>
      <w:r w:rsidR="00216B1B" w:rsidRPr="00DA2F93">
        <w:rPr>
          <w:sz w:val="40"/>
        </w:rPr>
        <w:t xml:space="preserve">, </w:t>
      </w:r>
      <w:r w:rsidR="00305860" w:rsidRPr="00B361C0">
        <w:rPr>
          <w:sz w:val="40"/>
          <w:highlight w:val="lightGray"/>
        </w:rPr>
        <w:t>XX</w:t>
      </w:r>
      <w:r w:rsidR="00305860" w:rsidRPr="00DA2F93">
        <w:rPr>
          <w:sz w:val="40"/>
        </w:rPr>
        <w:t xml:space="preserve"> </w:t>
      </w:r>
      <w:r w:rsidR="00E449E7" w:rsidRPr="00DA2F93">
        <w:rPr>
          <w:sz w:val="40"/>
        </w:rPr>
        <w:t>MWe n</w:t>
      </w:r>
      <w:r w:rsidR="00FB3C5F" w:rsidRPr="00DA2F93">
        <w:rPr>
          <w:sz w:val="40"/>
        </w:rPr>
        <w:t>ets</w:t>
      </w:r>
      <w:r w:rsidR="00216B1B" w:rsidRPr="00DA2F93">
        <w:rPr>
          <w:sz w:val="40"/>
        </w:rPr>
        <w:t xml:space="preserve">, commune de </w:t>
      </w:r>
      <w:r w:rsidR="003F3A8D" w:rsidRPr="00B361C0">
        <w:rPr>
          <w:sz w:val="40"/>
          <w:highlight w:val="lightGray"/>
        </w:rPr>
        <w:t>XXX</w:t>
      </w:r>
    </w:p>
    <w:p w14:paraId="253B1006" w14:textId="77777777" w:rsidR="00FC4483" w:rsidRPr="00DA2F93" w:rsidRDefault="00FC4483" w:rsidP="004B0CD4">
      <w:pPr>
        <w:pStyle w:val="EDFTitreDocument"/>
        <w:jc w:val="center"/>
        <w:rPr>
          <w:sz w:val="40"/>
        </w:rPr>
      </w:pPr>
    </w:p>
    <w:p w14:paraId="65E287ED" w14:textId="77777777" w:rsidR="00043E27" w:rsidRPr="00DA2F93" w:rsidRDefault="00043E27" w:rsidP="004B0CD4">
      <w:pPr>
        <w:pStyle w:val="EDFTitreDocument"/>
        <w:jc w:val="center"/>
        <w:rPr>
          <w:sz w:val="40"/>
        </w:rPr>
      </w:pPr>
    </w:p>
    <w:p w14:paraId="3E856F75" w14:textId="77777777" w:rsidR="00043E27" w:rsidRPr="00DA2F93" w:rsidRDefault="00043E27" w:rsidP="004B0CD4">
      <w:pPr>
        <w:pStyle w:val="EDFTitreDocument"/>
        <w:jc w:val="center"/>
        <w:rPr>
          <w:sz w:val="40"/>
        </w:rPr>
      </w:pPr>
    </w:p>
    <w:p w14:paraId="2011A59C" w14:textId="77777777" w:rsidR="00043E27" w:rsidRPr="00DA2F93" w:rsidRDefault="00043E27" w:rsidP="004B0CD4">
      <w:pPr>
        <w:pStyle w:val="EDFTitreDocument"/>
        <w:jc w:val="center"/>
        <w:rPr>
          <w:sz w:val="40"/>
        </w:rPr>
      </w:pPr>
    </w:p>
    <w:p w14:paraId="258309EE" w14:textId="77777777" w:rsidR="00C31ACA" w:rsidRPr="00DA2F93" w:rsidRDefault="00C31ACA" w:rsidP="000243CB">
      <w:pPr>
        <w:pStyle w:val="EDFTitreDocument"/>
        <w:rPr>
          <w:sz w:val="40"/>
        </w:rPr>
      </w:pPr>
    </w:p>
    <w:p w14:paraId="2F20BBBD" w14:textId="77777777" w:rsidR="00043E27" w:rsidRPr="00DA2F93" w:rsidRDefault="00043E27" w:rsidP="004B0CD4">
      <w:pPr>
        <w:pStyle w:val="EDFTitreDocument"/>
        <w:jc w:val="center"/>
        <w:rPr>
          <w:sz w:val="40"/>
        </w:rPr>
      </w:pPr>
    </w:p>
    <w:p w14:paraId="15CF180E" w14:textId="77777777" w:rsidR="00043E27" w:rsidRPr="00DA2F93" w:rsidRDefault="00043E27" w:rsidP="004B0CD4">
      <w:pPr>
        <w:pStyle w:val="EDFTitreDocument"/>
        <w:jc w:val="center"/>
        <w:rPr>
          <w:sz w:val="40"/>
        </w:rPr>
      </w:pPr>
    </w:p>
    <w:p w14:paraId="44DA951F" w14:textId="77777777" w:rsidR="00043E27" w:rsidRPr="00DA2F93" w:rsidRDefault="00043E27" w:rsidP="004B0CD4">
      <w:pPr>
        <w:pStyle w:val="EDFTitreDocument"/>
        <w:jc w:val="center"/>
        <w:rPr>
          <w:sz w:val="40"/>
        </w:rPr>
      </w:pPr>
    </w:p>
    <w:p w14:paraId="10979D68" w14:textId="146D3276" w:rsidR="000349CF" w:rsidRPr="00DA2F93" w:rsidRDefault="005F2671" w:rsidP="004B0CD4">
      <w:pPr>
        <w:pStyle w:val="EDFTitreDocument"/>
        <w:jc w:val="center"/>
        <w:rPr>
          <w:sz w:val="40"/>
        </w:rPr>
      </w:pPr>
      <w:r w:rsidRPr="00B361C0">
        <w:rPr>
          <w:sz w:val="40"/>
          <w:highlight w:val="lightGray"/>
        </w:rPr>
        <w:t>XXX</w:t>
      </w:r>
      <w:r w:rsidRPr="00DA2F93">
        <w:rPr>
          <w:sz w:val="40"/>
        </w:rPr>
        <w:t xml:space="preserve"> </w:t>
      </w:r>
      <w:r w:rsidR="00B361C0">
        <w:rPr>
          <w:sz w:val="40"/>
        </w:rPr>
        <w:t>2022</w:t>
      </w:r>
    </w:p>
    <w:p w14:paraId="237E5BC6" w14:textId="77777777" w:rsidR="002E1FCB" w:rsidRPr="00DA2F93" w:rsidRDefault="002E1FCB" w:rsidP="000548E3">
      <w:pPr>
        <w:pStyle w:val="EDFTitreDocument"/>
        <w:jc w:val="both"/>
        <w:rPr>
          <w:sz w:val="40"/>
        </w:rPr>
      </w:pPr>
    </w:p>
    <w:p w14:paraId="41938F39" w14:textId="77777777" w:rsidR="00D43C39" w:rsidRPr="00DA2F93" w:rsidRDefault="00D43C39" w:rsidP="000548E3">
      <w:pPr>
        <w:spacing w:before="0" w:after="0"/>
        <w:jc w:val="both"/>
        <w:rPr>
          <w:b/>
          <w:caps/>
          <w:color w:val="005BBB"/>
          <w:sz w:val="28"/>
          <w:szCs w:val="40"/>
        </w:rPr>
      </w:pPr>
      <w:r w:rsidRPr="00DA2F93">
        <w:br w:type="page"/>
      </w:r>
    </w:p>
    <w:p w14:paraId="54EA64CF" w14:textId="77777777" w:rsidR="007C0468" w:rsidRPr="00DA2F93" w:rsidRDefault="007C0468" w:rsidP="000548E3">
      <w:pPr>
        <w:jc w:val="both"/>
        <w:rPr>
          <w:rFonts w:cs="Arial"/>
        </w:rPr>
      </w:pPr>
      <w:r w:rsidRPr="00DA2F93">
        <w:rPr>
          <w:rFonts w:cs="Arial"/>
        </w:rPr>
        <w:lastRenderedPageBreak/>
        <w:t>Entre</w:t>
      </w:r>
    </w:p>
    <w:p w14:paraId="3F2A30A4" w14:textId="77777777" w:rsidR="00C20C7D" w:rsidRPr="00DA2F93" w:rsidRDefault="00C20C7D" w:rsidP="000548E3">
      <w:pPr>
        <w:autoSpaceDE w:val="0"/>
        <w:autoSpaceDN w:val="0"/>
        <w:adjustRightInd w:val="0"/>
        <w:jc w:val="both"/>
        <w:rPr>
          <w:rFonts w:cs="Arial"/>
          <w:b/>
        </w:rPr>
      </w:pPr>
    </w:p>
    <w:p w14:paraId="5098DC71" w14:textId="27406CA5" w:rsidR="007C0468" w:rsidRPr="00DA2F93" w:rsidRDefault="00B361C0" w:rsidP="000548E3">
      <w:pPr>
        <w:autoSpaceDE w:val="0"/>
        <w:autoSpaceDN w:val="0"/>
        <w:adjustRightInd w:val="0"/>
        <w:jc w:val="both"/>
        <w:rPr>
          <w:rFonts w:cs="Arial"/>
        </w:rPr>
      </w:pPr>
      <w:r w:rsidRPr="00B361C0">
        <w:rPr>
          <w:rFonts w:cs="Arial"/>
        </w:rPr>
        <w:t>La société</w:t>
      </w:r>
      <w:r>
        <w:rPr>
          <w:rFonts w:cs="Arial"/>
          <w:b/>
        </w:rPr>
        <w:t xml:space="preserve"> ENERCAL</w:t>
      </w:r>
      <w:r w:rsidR="007C0468" w:rsidRPr="00DA2F93">
        <w:rPr>
          <w:rFonts w:cs="Arial"/>
        </w:rPr>
        <w:t xml:space="preserve">, dont le siège social est situé </w:t>
      </w:r>
      <w:r>
        <w:rPr>
          <w:rFonts w:cs="Arial"/>
        </w:rPr>
        <w:t>au 87 avenue du Général de Gaulle – BP C1 – 98848 Nouméa cedex, concessionnaire du réseau de transport</w:t>
      </w:r>
      <w:r w:rsidR="007C0468" w:rsidRPr="00DA2F93">
        <w:rPr>
          <w:rFonts w:cs="Arial"/>
        </w:rPr>
        <w:t xml:space="preserve">, </w:t>
      </w:r>
    </w:p>
    <w:p w14:paraId="134DC53A" w14:textId="77777777" w:rsidR="007C0468" w:rsidRPr="00DA2F93" w:rsidRDefault="007C0468" w:rsidP="000548E3">
      <w:pPr>
        <w:jc w:val="both"/>
        <w:rPr>
          <w:rFonts w:cs="Arial"/>
        </w:rPr>
      </w:pPr>
      <w:proofErr w:type="gramStart"/>
      <w:r w:rsidRPr="00DA2F93">
        <w:rPr>
          <w:rFonts w:cs="Arial"/>
        </w:rPr>
        <w:t>représentée</w:t>
      </w:r>
      <w:proofErr w:type="gramEnd"/>
      <w:r w:rsidRPr="00DA2F93">
        <w:rPr>
          <w:rFonts w:cs="Arial"/>
        </w:rPr>
        <w:t xml:space="preserve"> par : </w:t>
      </w:r>
    </w:p>
    <w:p w14:paraId="2994044F" w14:textId="53CB7ECE" w:rsidR="007C0468" w:rsidRPr="00DA2F93" w:rsidRDefault="007C0468" w:rsidP="008544B3">
      <w:pPr>
        <w:pStyle w:val="Paragraphedeliste"/>
        <w:numPr>
          <w:ilvl w:val="0"/>
          <w:numId w:val="6"/>
        </w:numPr>
        <w:ind w:left="357" w:hanging="357"/>
        <w:contextualSpacing w:val="0"/>
        <w:jc w:val="both"/>
        <w:rPr>
          <w:rFonts w:cs="Arial"/>
        </w:rPr>
      </w:pPr>
      <w:r w:rsidRPr="00DA2F93">
        <w:rPr>
          <w:rFonts w:cs="Arial"/>
        </w:rPr>
        <w:t xml:space="preserve">M. </w:t>
      </w:r>
      <w:r w:rsidR="00B361C0">
        <w:rPr>
          <w:rFonts w:cs="Arial"/>
        </w:rPr>
        <w:t>Jean-Gabriel FAGET en sa qualité de Directeur Général</w:t>
      </w:r>
      <w:r w:rsidRPr="00DA2F93">
        <w:rPr>
          <w:rFonts w:cs="Arial"/>
        </w:rPr>
        <w:t>,</w:t>
      </w:r>
    </w:p>
    <w:p w14:paraId="3A041F48" w14:textId="5CA53C27" w:rsidR="004D692E" w:rsidRPr="00DA2F93" w:rsidRDefault="007C0468">
      <w:pPr>
        <w:jc w:val="both"/>
        <w:rPr>
          <w:rFonts w:cs="Arial"/>
        </w:rPr>
      </w:pPr>
      <w:proofErr w:type="gramStart"/>
      <w:r w:rsidRPr="00DA2F93">
        <w:rPr>
          <w:rFonts w:cs="Arial"/>
        </w:rPr>
        <w:t>ci-après</w:t>
      </w:r>
      <w:proofErr w:type="gramEnd"/>
      <w:r w:rsidRPr="00DA2F93">
        <w:rPr>
          <w:rFonts w:cs="Arial"/>
        </w:rPr>
        <w:t xml:space="preserve"> dénommée « </w:t>
      </w:r>
      <w:r w:rsidR="00AB6C79" w:rsidRPr="00DA2F93">
        <w:rPr>
          <w:rFonts w:cs="Arial"/>
          <w:b/>
        </w:rPr>
        <w:t>le GR</w:t>
      </w:r>
      <w:r w:rsidR="00B361C0">
        <w:rPr>
          <w:rFonts w:cs="Arial"/>
          <w:b/>
        </w:rPr>
        <w:t>T</w:t>
      </w:r>
      <w:r w:rsidR="00AB6C79" w:rsidRPr="00DA2F93">
        <w:rPr>
          <w:rFonts w:cs="Arial"/>
        </w:rPr>
        <w:t> </w:t>
      </w:r>
      <w:r w:rsidRPr="00DA2F93">
        <w:rPr>
          <w:rFonts w:cs="Arial"/>
        </w:rPr>
        <w:t>»</w:t>
      </w:r>
      <w:r w:rsidR="00AB6C79" w:rsidRPr="00DA2F93">
        <w:rPr>
          <w:rFonts w:cs="Arial"/>
        </w:rPr>
        <w:t xml:space="preserve"> (Gestionnaire du Réseau public de </w:t>
      </w:r>
      <w:r w:rsidR="00B361C0">
        <w:rPr>
          <w:rFonts w:cs="Arial"/>
        </w:rPr>
        <w:t>Transport</w:t>
      </w:r>
      <w:r w:rsidR="00AB6C79" w:rsidRPr="00DA2F93">
        <w:rPr>
          <w:rFonts w:cs="Arial"/>
        </w:rPr>
        <w:t>)</w:t>
      </w:r>
      <w:r w:rsidR="00B404F7" w:rsidRPr="00DA2F93">
        <w:rPr>
          <w:rFonts w:cs="Arial"/>
        </w:rPr>
        <w:t>,</w:t>
      </w:r>
    </w:p>
    <w:p w14:paraId="4B30D5B0" w14:textId="77777777" w:rsidR="007C0468" w:rsidRPr="00DA2F93" w:rsidRDefault="007C0468" w:rsidP="000548E3">
      <w:pPr>
        <w:jc w:val="both"/>
        <w:rPr>
          <w:rFonts w:cs="Arial"/>
        </w:rPr>
      </w:pPr>
      <w:r w:rsidRPr="00DA2F93">
        <w:rPr>
          <w:rFonts w:cs="Arial"/>
        </w:rPr>
        <w:tab/>
      </w:r>
      <w:r w:rsidRPr="00DA2F93">
        <w:rPr>
          <w:rFonts w:cs="Arial"/>
        </w:rPr>
        <w:tab/>
      </w:r>
      <w:r w:rsidRPr="00DA2F93">
        <w:rPr>
          <w:rFonts w:cs="Arial"/>
        </w:rPr>
        <w:tab/>
      </w:r>
      <w:r w:rsidRPr="00DA2F93">
        <w:rPr>
          <w:rFonts w:cs="Arial"/>
        </w:rPr>
        <w:tab/>
      </w:r>
      <w:r w:rsidRPr="00DA2F93">
        <w:rPr>
          <w:rFonts w:cs="Arial"/>
        </w:rPr>
        <w:tab/>
      </w:r>
      <w:r w:rsidRPr="00DA2F93">
        <w:rPr>
          <w:rFonts w:cs="Arial"/>
        </w:rPr>
        <w:tab/>
      </w:r>
      <w:r w:rsidRPr="00DA2F93">
        <w:rPr>
          <w:rFonts w:cs="Arial"/>
        </w:rPr>
        <w:tab/>
      </w:r>
      <w:proofErr w:type="gramStart"/>
      <w:r w:rsidRPr="00DA2F93">
        <w:rPr>
          <w:rFonts w:cs="Arial"/>
        </w:rPr>
        <w:t>d’une</w:t>
      </w:r>
      <w:proofErr w:type="gramEnd"/>
      <w:r w:rsidRPr="00DA2F93">
        <w:rPr>
          <w:rFonts w:cs="Arial"/>
        </w:rPr>
        <w:t xml:space="preserve"> part,</w:t>
      </w:r>
    </w:p>
    <w:p w14:paraId="2B82AB30" w14:textId="77777777" w:rsidR="007C0468" w:rsidRPr="00DA2F93" w:rsidRDefault="007C0468" w:rsidP="000548E3">
      <w:pPr>
        <w:jc w:val="both"/>
        <w:rPr>
          <w:rFonts w:cs="Arial"/>
        </w:rPr>
      </w:pPr>
    </w:p>
    <w:p w14:paraId="4EEE19A4" w14:textId="77777777" w:rsidR="007C0468" w:rsidRPr="00DA2F93" w:rsidRDefault="007C0468" w:rsidP="000548E3">
      <w:pPr>
        <w:jc w:val="both"/>
        <w:rPr>
          <w:rFonts w:cs="Arial"/>
        </w:rPr>
      </w:pPr>
      <w:proofErr w:type="gramStart"/>
      <w:r w:rsidRPr="00DA2F93">
        <w:rPr>
          <w:rFonts w:cs="Arial"/>
        </w:rPr>
        <w:t>et</w:t>
      </w:r>
      <w:proofErr w:type="gramEnd"/>
    </w:p>
    <w:p w14:paraId="1F5A942D" w14:textId="77777777" w:rsidR="00C20C7D" w:rsidRPr="00DA2F93" w:rsidRDefault="00C20C7D" w:rsidP="000548E3">
      <w:pPr>
        <w:jc w:val="both"/>
        <w:rPr>
          <w:rFonts w:cs="Arial"/>
        </w:rPr>
      </w:pPr>
    </w:p>
    <w:p w14:paraId="70F355E4" w14:textId="3C1DF2FD" w:rsidR="00C31ACA" w:rsidRPr="00DA2F93" w:rsidRDefault="00B361C0">
      <w:pPr>
        <w:autoSpaceDE w:val="0"/>
        <w:autoSpaceDN w:val="0"/>
        <w:adjustRightInd w:val="0"/>
        <w:jc w:val="both"/>
        <w:rPr>
          <w:rFonts w:cs="Arial"/>
        </w:rPr>
      </w:pPr>
      <w:r>
        <w:rPr>
          <w:rFonts w:cs="Arial"/>
          <w:b/>
        </w:rPr>
        <w:t xml:space="preserve">La société </w:t>
      </w:r>
      <w:r w:rsidR="003F3A8D" w:rsidRPr="00B361C0">
        <w:rPr>
          <w:rFonts w:cs="Arial"/>
          <w:b/>
          <w:highlight w:val="lightGray"/>
        </w:rPr>
        <w:t>XXX</w:t>
      </w:r>
      <w:r w:rsidR="001B174C" w:rsidRPr="00DA2F93">
        <w:rPr>
          <w:rFonts w:cs="Arial"/>
        </w:rPr>
        <w:t xml:space="preserve">, dont le siège social est situé </w:t>
      </w:r>
      <w:r w:rsidR="003F3A8D" w:rsidRPr="00B361C0">
        <w:rPr>
          <w:rFonts w:cs="Arial"/>
          <w:highlight w:val="lightGray"/>
        </w:rPr>
        <w:t>XXX</w:t>
      </w:r>
      <w:r w:rsidR="00AB456E" w:rsidRPr="00DA2F93">
        <w:rPr>
          <w:rFonts w:cs="Arial"/>
        </w:rPr>
        <w:t>,</w:t>
      </w:r>
    </w:p>
    <w:p w14:paraId="4232F9F9" w14:textId="77777777" w:rsidR="00401AF1" w:rsidRPr="00DA2F93" w:rsidRDefault="0007393A" w:rsidP="00507609">
      <w:pPr>
        <w:jc w:val="both"/>
        <w:rPr>
          <w:rFonts w:cs="Arial"/>
        </w:rPr>
      </w:pPr>
      <w:proofErr w:type="gramStart"/>
      <w:r w:rsidRPr="00DA2F93">
        <w:rPr>
          <w:rFonts w:cs="Arial"/>
        </w:rPr>
        <w:t>représentée</w:t>
      </w:r>
      <w:proofErr w:type="gramEnd"/>
      <w:r w:rsidRPr="00DA2F93">
        <w:rPr>
          <w:rFonts w:cs="Arial"/>
        </w:rPr>
        <w:t xml:space="preserve"> par </w:t>
      </w:r>
      <w:r w:rsidR="003F3A8D" w:rsidRPr="00B361C0">
        <w:rPr>
          <w:rFonts w:cs="Arial"/>
          <w:highlight w:val="lightGray"/>
        </w:rPr>
        <w:t>XXX</w:t>
      </w:r>
      <w:r w:rsidR="00401AF1" w:rsidRPr="00B361C0">
        <w:rPr>
          <w:rFonts w:cs="Arial"/>
          <w:highlight w:val="lightGray"/>
        </w:rPr>
        <w:t xml:space="preserve"> </w:t>
      </w:r>
      <w:proofErr w:type="spellStart"/>
      <w:r w:rsidR="003F3A8D" w:rsidRPr="00B361C0">
        <w:rPr>
          <w:rFonts w:cs="Arial"/>
          <w:highlight w:val="lightGray"/>
        </w:rPr>
        <w:t>XXX</w:t>
      </w:r>
      <w:proofErr w:type="spellEnd"/>
      <w:r w:rsidR="00401AF1" w:rsidRPr="00B361C0">
        <w:rPr>
          <w:rFonts w:cs="Arial"/>
          <w:highlight w:val="lightGray"/>
        </w:rPr>
        <w:t>, son Président</w:t>
      </w:r>
      <w:r w:rsidR="00401AF1" w:rsidRPr="00DA2F93">
        <w:rPr>
          <w:rFonts w:cs="Arial"/>
        </w:rPr>
        <w:t>,</w:t>
      </w:r>
    </w:p>
    <w:p w14:paraId="517EF73F" w14:textId="77777777" w:rsidR="007C0468" w:rsidRPr="00DA2F93" w:rsidRDefault="00FC4483" w:rsidP="004F3C91">
      <w:pPr>
        <w:tabs>
          <w:tab w:val="center" w:pos="4989"/>
        </w:tabs>
        <w:jc w:val="both"/>
        <w:rPr>
          <w:rFonts w:cs="Arial"/>
        </w:rPr>
      </w:pPr>
      <w:proofErr w:type="gramStart"/>
      <w:r w:rsidRPr="00DA2F93">
        <w:rPr>
          <w:rFonts w:cs="Arial"/>
        </w:rPr>
        <w:t>ci-après</w:t>
      </w:r>
      <w:proofErr w:type="gramEnd"/>
      <w:r w:rsidRPr="00DA2F93">
        <w:rPr>
          <w:rFonts w:cs="Arial"/>
        </w:rPr>
        <w:t xml:space="preserve"> dénommé</w:t>
      </w:r>
      <w:r w:rsidR="007C0468" w:rsidRPr="00DA2F93">
        <w:rPr>
          <w:rFonts w:cs="Arial"/>
        </w:rPr>
        <w:t xml:space="preserve"> « </w:t>
      </w:r>
      <w:r w:rsidR="00BC5096" w:rsidRPr="00DA2F93">
        <w:rPr>
          <w:rFonts w:cs="Arial"/>
          <w:b/>
        </w:rPr>
        <w:t xml:space="preserve">le </w:t>
      </w:r>
      <w:r w:rsidR="00554628" w:rsidRPr="00DA2F93">
        <w:rPr>
          <w:rFonts w:cs="Arial"/>
          <w:b/>
        </w:rPr>
        <w:t>Stockeur</w:t>
      </w:r>
      <w:r w:rsidR="007C0468" w:rsidRPr="00DA2F93">
        <w:rPr>
          <w:rFonts w:cs="Arial"/>
        </w:rPr>
        <w:t xml:space="preserve"> »,</w:t>
      </w:r>
      <w:r w:rsidR="004F3C91" w:rsidRPr="00DA2F93">
        <w:rPr>
          <w:rFonts w:cs="Arial"/>
        </w:rPr>
        <w:tab/>
      </w:r>
    </w:p>
    <w:p w14:paraId="0EE00AAD" w14:textId="77777777" w:rsidR="007C0468" w:rsidRPr="00DA2F93" w:rsidRDefault="007C0468" w:rsidP="000548E3">
      <w:pPr>
        <w:jc w:val="both"/>
        <w:rPr>
          <w:rFonts w:cs="Arial"/>
        </w:rPr>
      </w:pPr>
      <w:r w:rsidRPr="00DA2F93">
        <w:rPr>
          <w:rFonts w:cs="Arial"/>
        </w:rPr>
        <w:tab/>
      </w:r>
      <w:r w:rsidRPr="00DA2F93">
        <w:rPr>
          <w:rFonts w:cs="Arial"/>
        </w:rPr>
        <w:tab/>
      </w:r>
      <w:r w:rsidRPr="00DA2F93">
        <w:rPr>
          <w:rFonts w:cs="Arial"/>
        </w:rPr>
        <w:tab/>
      </w:r>
      <w:r w:rsidRPr="00DA2F93">
        <w:rPr>
          <w:rFonts w:cs="Arial"/>
        </w:rPr>
        <w:tab/>
      </w:r>
      <w:r w:rsidRPr="00DA2F93">
        <w:rPr>
          <w:rFonts w:cs="Arial"/>
        </w:rPr>
        <w:tab/>
      </w:r>
      <w:r w:rsidRPr="00DA2F93">
        <w:rPr>
          <w:rFonts w:cs="Arial"/>
        </w:rPr>
        <w:tab/>
      </w:r>
      <w:r w:rsidRPr="00DA2F93">
        <w:rPr>
          <w:rFonts w:cs="Arial"/>
        </w:rPr>
        <w:tab/>
      </w:r>
      <w:proofErr w:type="gramStart"/>
      <w:r w:rsidRPr="00DA2F93">
        <w:rPr>
          <w:rFonts w:cs="Arial"/>
        </w:rPr>
        <w:t>d’autre</w:t>
      </w:r>
      <w:proofErr w:type="gramEnd"/>
      <w:r w:rsidRPr="00DA2F93">
        <w:rPr>
          <w:rFonts w:cs="Arial"/>
        </w:rPr>
        <w:t xml:space="preserve"> part,</w:t>
      </w:r>
    </w:p>
    <w:p w14:paraId="440639B5" w14:textId="77777777" w:rsidR="007C0468" w:rsidRPr="00DA2F93" w:rsidRDefault="007C0468" w:rsidP="000548E3">
      <w:pPr>
        <w:jc w:val="both"/>
        <w:rPr>
          <w:rFonts w:cs="Arial"/>
        </w:rPr>
      </w:pPr>
    </w:p>
    <w:p w14:paraId="3DE0AAB2" w14:textId="613B219F" w:rsidR="007C0468" w:rsidRPr="00DA2F93" w:rsidRDefault="007C0468" w:rsidP="000548E3">
      <w:pPr>
        <w:jc w:val="both"/>
        <w:rPr>
          <w:rFonts w:cs="Arial"/>
        </w:rPr>
      </w:pPr>
      <w:r w:rsidRPr="00DA2F93">
        <w:rPr>
          <w:rFonts w:cs="Arial"/>
        </w:rPr>
        <w:t xml:space="preserve">Le </w:t>
      </w:r>
      <w:r w:rsidR="00554628" w:rsidRPr="00DA2F93">
        <w:rPr>
          <w:rFonts w:cs="Arial"/>
        </w:rPr>
        <w:t>Stockeur</w:t>
      </w:r>
      <w:r w:rsidRPr="00DA2F93">
        <w:rPr>
          <w:rFonts w:cs="Arial"/>
        </w:rPr>
        <w:t xml:space="preserve"> et l</w:t>
      </w:r>
      <w:r w:rsidR="00673CB8" w:rsidRPr="00DA2F93">
        <w:rPr>
          <w:rFonts w:cs="Arial"/>
        </w:rPr>
        <w:t>e GR</w:t>
      </w:r>
      <w:r w:rsidR="00B361C0">
        <w:rPr>
          <w:rFonts w:cs="Arial"/>
        </w:rPr>
        <w:t>T</w:t>
      </w:r>
      <w:r w:rsidRPr="00DA2F93">
        <w:rPr>
          <w:rFonts w:cs="Arial"/>
        </w:rPr>
        <w:t xml:space="preserve"> étant ci-après dénommés, collectivement comme les « Parties » ou individuellement, comme la « Partie ».</w:t>
      </w:r>
    </w:p>
    <w:p w14:paraId="6F01559D" w14:textId="77777777" w:rsidR="007C0468" w:rsidRPr="00DA2F93" w:rsidRDefault="007C0468" w:rsidP="000548E3">
      <w:pPr>
        <w:jc w:val="both"/>
        <w:rPr>
          <w:rFonts w:cs="Arial"/>
        </w:rPr>
      </w:pPr>
    </w:p>
    <w:p w14:paraId="213E57E8" w14:textId="77777777" w:rsidR="007C0468" w:rsidRPr="00DA2F93" w:rsidRDefault="007C0468" w:rsidP="000548E3">
      <w:pPr>
        <w:jc w:val="both"/>
        <w:rPr>
          <w:rFonts w:cs="Arial"/>
        </w:rPr>
      </w:pPr>
    </w:p>
    <w:p w14:paraId="6FBF1A19" w14:textId="77777777" w:rsidR="007C0468" w:rsidRPr="00DA2F93" w:rsidRDefault="007C0468" w:rsidP="000548E3">
      <w:pPr>
        <w:spacing w:before="0" w:after="0"/>
        <w:jc w:val="both"/>
        <w:rPr>
          <w:b/>
          <w:caps/>
          <w:color w:val="005BBB"/>
          <w:sz w:val="28"/>
          <w:szCs w:val="40"/>
        </w:rPr>
      </w:pPr>
      <w:r w:rsidRPr="00DA2F93">
        <w:br w:type="page"/>
      </w:r>
    </w:p>
    <w:p w14:paraId="1159217A" w14:textId="66A49508" w:rsidR="00D43C39" w:rsidRDefault="00D43C39" w:rsidP="000548E3">
      <w:pPr>
        <w:pStyle w:val="EDFTitreDocument"/>
        <w:jc w:val="both"/>
      </w:pPr>
      <w:r w:rsidRPr="00DA2F93">
        <w:lastRenderedPageBreak/>
        <w:t>Sommaire</w:t>
      </w:r>
    </w:p>
    <w:sdt>
      <w:sdtPr>
        <w:rPr>
          <w:rFonts w:ascii="Arial" w:eastAsia="Calibri" w:hAnsi="Arial" w:cs="Times New Roman"/>
          <w:color w:val="auto"/>
          <w:sz w:val="22"/>
          <w:szCs w:val="22"/>
          <w:lang w:eastAsia="en-US"/>
        </w:rPr>
        <w:id w:val="-1033949831"/>
        <w:docPartObj>
          <w:docPartGallery w:val="Table of Contents"/>
          <w:docPartUnique/>
        </w:docPartObj>
      </w:sdtPr>
      <w:sdtEndPr>
        <w:rPr>
          <w:b/>
          <w:bCs/>
        </w:rPr>
      </w:sdtEndPr>
      <w:sdtContent>
        <w:p w14:paraId="5766F266" w14:textId="3B89FD22" w:rsidR="00EE1206" w:rsidRDefault="00EE1206">
          <w:pPr>
            <w:pStyle w:val="En-ttedetabledesmatires"/>
          </w:pPr>
        </w:p>
        <w:p w14:paraId="43A91FAB" w14:textId="77777777" w:rsidR="0040681E" w:rsidRDefault="00EE1206">
          <w:pPr>
            <w:pStyle w:val="TM1"/>
            <w:rPr>
              <w:rFonts w:asciiTheme="minorHAnsi" w:eastAsiaTheme="minorEastAsia" w:hAnsiTheme="minorHAnsi" w:cstheme="minorBidi"/>
              <w:b w:val="0"/>
              <w:caps w:val="0"/>
              <w:noProof/>
              <w:color w:val="auto"/>
              <w:szCs w:val="22"/>
              <w:lang w:eastAsia="fr-FR"/>
            </w:rPr>
          </w:pPr>
          <w:r>
            <w:fldChar w:fldCharType="begin"/>
          </w:r>
          <w:r>
            <w:instrText xml:space="preserve"> TOC \o "1-3" \h \z \u </w:instrText>
          </w:r>
          <w:r>
            <w:fldChar w:fldCharType="separate"/>
          </w:r>
          <w:hyperlink w:anchor="_Toc110436441" w:history="1">
            <w:r w:rsidR="0040681E" w:rsidRPr="0089715E">
              <w:rPr>
                <w:rStyle w:val="Lienhypertexte"/>
                <w:noProof/>
              </w:rPr>
              <w:t>1. Objet du présent contrat</w:t>
            </w:r>
            <w:r w:rsidR="0040681E">
              <w:rPr>
                <w:noProof/>
                <w:webHidden/>
              </w:rPr>
              <w:tab/>
            </w:r>
            <w:r w:rsidR="0040681E">
              <w:rPr>
                <w:noProof/>
                <w:webHidden/>
              </w:rPr>
              <w:fldChar w:fldCharType="begin"/>
            </w:r>
            <w:r w:rsidR="0040681E">
              <w:rPr>
                <w:noProof/>
                <w:webHidden/>
              </w:rPr>
              <w:instrText xml:space="preserve"> PAGEREF _Toc110436441 \h </w:instrText>
            </w:r>
            <w:r w:rsidR="0040681E">
              <w:rPr>
                <w:noProof/>
                <w:webHidden/>
              </w:rPr>
            </w:r>
            <w:r w:rsidR="0040681E">
              <w:rPr>
                <w:noProof/>
                <w:webHidden/>
              </w:rPr>
              <w:fldChar w:fldCharType="separate"/>
            </w:r>
            <w:r w:rsidR="0040681E">
              <w:rPr>
                <w:noProof/>
                <w:webHidden/>
              </w:rPr>
              <w:t>6</w:t>
            </w:r>
            <w:r w:rsidR="0040681E">
              <w:rPr>
                <w:noProof/>
                <w:webHidden/>
              </w:rPr>
              <w:fldChar w:fldCharType="end"/>
            </w:r>
          </w:hyperlink>
        </w:p>
        <w:p w14:paraId="4A30C521"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42" w:history="1">
            <w:r w:rsidR="0040681E" w:rsidRPr="0089715E">
              <w:rPr>
                <w:rStyle w:val="Lienhypertexte"/>
                <w:noProof/>
              </w:rPr>
              <w:t>2. Définitions</w:t>
            </w:r>
            <w:r w:rsidR="0040681E">
              <w:rPr>
                <w:noProof/>
                <w:webHidden/>
              </w:rPr>
              <w:tab/>
            </w:r>
            <w:r w:rsidR="0040681E">
              <w:rPr>
                <w:noProof/>
                <w:webHidden/>
              </w:rPr>
              <w:fldChar w:fldCharType="begin"/>
            </w:r>
            <w:r w:rsidR="0040681E">
              <w:rPr>
                <w:noProof/>
                <w:webHidden/>
              </w:rPr>
              <w:instrText xml:space="preserve"> PAGEREF _Toc110436442 \h </w:instrText>
            </w:r>
            <w:r w:rsidR="0040681E">
              <w:rPr>
                <w:noProof/>
                <w:webHidden/>
              </w:rPr>
            </w:r>
            <w:r w:rsidR="0040681E">
              <w:rPr>
                <w:noProof/>
                <w:webHidden/>
              </w:rPr>
              <w:fldChar w:fldCharType="separate"/>
            </w:r>
            <w:r w:rsidR="0040681E">
              <w:rPr>
                <w:noProof/>
                <w:webHidden/>
              </w:rPr>
              <w:t>6</w:t>
            </w:r>
            <w:r w:rsidR="0040681E">
              <w:rPr>
                <w:noProof/>
                <w:webHidden/>
              </w:rPr>
              <w:fldChar w:fldCharType="end"/>
            </w:r>
          </w:hyperlink>
        </w:p>
        <w:p w14:paraId="4C074CF1"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43" w:history="1">
            <w:r w:rsidR="0040681E" w:rsidRPr="0089715E">
              <w:rPr>
                <w:rStyle w:val="Lienhypertexte"/>
                <w:noProof/>
              </w:rPr>
              <w:t>3. Obligations des parties</w:t>
            </w:r>
            <w:r w:rsidR="0040681E">
              <w:rPr>
                <w:noProof/>
                <w:webHidden/>
              </w:rPr>
              <w:tab/>
            </w:r>
            <w:r w:rsidR="0040681E">
              <w:rPr>
                <w:noProof/>
                <w:webHidden/>
              </w:rPr>
              <w:fldChar w:fldCharType="begin"/>
            </w:r>
            <w:r w:rsidR="0040681E">
              <w:rPr>
                <w:noProof/>
                <w:webHidden/>
              </w:rPr>
              <w:instrText xml:space="preserve"> PAGEREF _Toc110436443 \h </w:instrText>
            </w:r>
            <w:r w:rsidR="0040681E">
              <w:rPr>
                <w:noProof/>
                <w:webHidden/>
              </w:rPr>
            </w:r>
            <w:r w:rsidR="0040681E">
              <w:rPr>
                <w:noProof/>
                <w:webHidden/>
              </w:rPr>
              <w:fldChar w:fldCharType="separate"/>
            </w:r>
            <w:r w:rsidR="0040681E">
              <w:rPr>
                <w:noProof/>
                <w:webHidden/>
              </w:rPr>
              <w:t>7</w:t>
            </w:r>
            <w:r w:rsidR="0040681E">
              <w:rPr>
                <w:noProof/>
                <w:webHidden/>
              </w:rPr>
              <w:fldChar w:fldCharType="end"/>
            </w:r>
          </w:hyperlink>
        </w:p>
        <w:p w14:paraId="4F1F9E1B"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44" w:history="1">
            <w:r w:rsidR="0040681E" w:rsidRPr="0089715E">
              <w:rPr>
                <w:rStyle w:val="Lienhypertexte"/>
                <w:noProof/>
              </w:rPr>
              <w:t>3.1.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Obligations du Stockeur</w:t>
            </w:r>
            <w:r w:rsidR="0040681E">
              <w:rPr>
                <w:noProof/>
                <w:webHidden/>
              </w:rPr>
              <w:tab/>
            </w:r>
            <w:r w:rsidR="0040681E">
              <w:rPr>
                <w:noProof/>
                <w:webHidden/>
              </w:rPr>
              <w:fldChar w:fldCharType="begin"/>
            </w:r>
            <w:r w:rsidR="0040681E">
              <w:rPr>
                <w:noProof/>
                <w:webHidden/>
              </w:rPr>
              <w:instrText xml:space="preserve"> PAGEREF _Toc110436444 \h </w:instrText>
            </w:r>
            <w:r w:rsidR="0040681E">
              <w:rPr>
                <w:noProof/>
                <w:webHidden/>
              </w:rPr>
            </w:r>
            <w:r w:rsidR="0040681E">
              <w:rPr>
                <w:noProof/>
                <w:webHidden/>
              </w:rPr>
              <w:fldChar w:fldCharType="separate"/>
            </w:r>
            <w:r w:rsidR="0040681E">
              <w:rPr>
                <w:noProof/>
                <w:webHidden/>
              </w:rPr>
              <w:t>7</w:t>
            </w:r>
            <w:r w:rsidR="0040681E">
              <w:rPr>
                <w:noProof/>
                <w:webHidden/>
              </w:rPr>
              <w:fldChar w:fldCharType="end"/>
            </w:r>
          </w:hyperlink>
        </w:p>
        <w:p w14:paraId="0B014283"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45" w:history="1">
            <w:r w:rsidR="0040681E" w:rsidRPr="0089715E">
              <w:rPr>
                <w:rStyle w:val="Lienhypertexte"/>
                <w:noProof/>
              </w:rPr>
              <w:t>3.2.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Obligations du GRT</w:t>
            </w:r>
            <w:r w:rsidR="0040681E">
              <w:rPr>
                <w:noProof/>
                <w:webHidden/>
              </w:rPr>
              <w:tab/>
            </w:r>
            <w:r w:rsidR="0040681E">
              <w:rPr>
                <w:noProof/>
                <w:webHidden/>
              </w:rPr>
              <w:fldChar w:fldCharType="begin"/>
            </w:r>
            <w:r w:rsidR="0040681E">
              <w:rPr>
                <w:noProof/>
                <w:webHidden/>
              </w:rPr>
              <w:instrText xml:space="preserve"> PAGEREF _Toc110436445 \h </w:instrText>
            </w:r>
            <w:r w:rsidR="0040681E">
              <w:rPr>
                <w:noProof/>
                <w:webHidden/>
              </w:rPr>
            </w:r>
            <w:r w:rsidR="0040681E">
              <w:rPr>
                <w:noProof/>
                <w:webHidden/>
              </w:rPr>
              <w:fldChar w:fldCharType="separate"/>
            </w:r>
            <w:r w:rsidR="0040681E">
              <w:rPr>
                <w:noProof/>
                <w:webHidden/>
              </w:rPr>
              <w:t>8</w:t>
            </w:r>
            <w:r w:rsidR="0040681E">
              <w:rPr>
                <w:noProof/>
                <w:webHidden/>
              </w:rPr>
              <w:fldChar w:fldCharType="end"/>
            </w:r>
          </w:hyperlink>
        </w:p>
        <w:p w14:paraId="4A6140C1"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46" w:history="1">
            <w:r w:rsidR="0040681E" w:rsidRPr="0089715E">
              <w:rPr>
                <w:rStyle w:val="Lienhypertexte"/>
                <w:noProof/>
              </w:rPr>
              <w:t>4. Raccordement et point de livraison</w:t>
            </w:r>
            <w:r w:rsidR="0040681E">
              <w:rPr>
                <w:noProof/>
                <w:webHidden/>
              </w:rPr>
              <w:tab/>
            </w:r>
            <w:r w:rsidR="0040681E">
              <w:rPr>
                <w:noProof/>
                <w:webHidden/>
              </w:rPr>
              <w:fldChar w:fldCharType="begin"/>
            </w:r>
            <w:r w:rsidR="0040681E">
              <w:rPr>
                <w:noProof/>
                <w:webHidden/>
              </w:rPr>
              <w:instrText xml:space="preserve"> PAGEREF _Toc110436446 \h </w:instrText>
            </w:r>
            <w:r w:rsidR="0040681E">
              <w:rPr>
                <w:noProof/>
                <w:webHidden/>
              </w:rPr>
            </w:r>
            <w:r w:rsidR="0040681E">
              <w:rPr>
                <w:noProof/>
                <w:webHidden/>
              </w:rPr>
              <w:fldChar w:fldCharType="separate"/>
            </w:r>
            <w:r w:rsidR="0040681E">
              <w:rPr>
                <w:noProof/>
                <w:webHidden/>
              </w:rPr>
              <w:t>8</w:t>
            </w:r>
            <w:r w:rsidR="0040681E">
              <w:rPr>
                <w:noProof/>
                <w:webHidden/>
              </w:rPr>
              <w:fldChar w:fldCharType="end"/>
            </w:r>
          </w:hyperlink>
        </w:p>
        <w:p w14:paraId="0FFE098D"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47" w:history="1">
            <w:r w:rsidR="0040681E" w:rsidRPr="0089715E">
              <w:rPr>
                <w:rStyle w:val="Lienhypertexte"/>
                <w:noProof/>
              </w:rPr>
              <w:t>5. Installation du Stockeur</w:t>
            </w:r>
            <w:r w:rsidR="0040681E">
              <w:rPr>
                <w:noProof/>
                <w:webHidden/>
              </w:rPr>
              <w:tab/>
            </w:r>
            <w:r w:rsidR="0040681E">
              <w:rPr>
                <w:noProof/>
                <w:webHidden/>
              </w:rPr>
              <w:fldChar w:fldCharType="begin"/>
            </w:r>
            <w:r w:rsidR="0040681E">
              <w:rPr>
                <w:noProof/>
                <w:webHidden/>
              </w:rPr>
              <w:instrText xml:space="preserve"> PAGEREF _Toc110436447 \h </w:instrText>
            </w:r>
            <w:r w:rsidR="0040681E">
              <w:rPr>
                <w:noProof/>
                <w:webHidden/>
              </w:rPr>
            </w:r>
            <w:r w:rsidR="0040681E">
              <w:rPr>
                <w:noProof/>
                <w:webHidden/>
              </w:rPr>
              <w:fldChar w:fldCharType="separate"/>
            </w:r>
            <w:r w:rsidR="0040681E">
              <w:rPr>
                <w:noProof/>
                <w:webHidden/>
              </w:rPr>
              <w:t>8</w:t>
            </w:r>
            <w:r w:rsidR="0040681E">
              <w:rPr>
                <w:noProof/>
                <w:webHidden/>
              </w:rPr>
              <w:fldChar w:fldCharType="end"/>
            </w:r>
          </w:hyperlink>
        </w:p>
        <w:p w14:paraId="1FC12D1B"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48" w:history="1">
            <w:r w:rsidR="0040681E" w:rsidRPr="0089715E">
              <w:rPr>
                <w:rStyle w:val="Lienhypertexte"/>
                <w:noProof/>
              </w:rPr>
              <w:t>6. Mesure et contrôle</w:t>
            </w:r>
            <w:r w:rsidR="0040681E">
              <w:rPr>
                <w:noProof/>
                <w:webHidden/>
              </w:rPr>
              <w:tab/>
            </w:r>
            <w:r w:rsidR="0040681E">
              <w:rPr>
                <w:noProof/>
                <w:webHidden/>
              </w:rPr>
              <w:fldChar w:fldCharType="begin"/>
            </w:r>
            <w:r w:rsidR="0040681E">
              <w:rPr>
                <w:noProof/>
                <w:webHidden/>
              </w:rPr>
              <w:instrText xml:space="preserve"> PAGEREF _Toc110436448 \h </w:instrText>
            </w:r>
            <w:r w:rsidR="0040681E">
              <w:rPr>
                <w:noProof/>
                <w:webHidden/>
              </w:rPr>
            </w:r>
            <w:r w:rsidR="0040681E">
              <w:rPr>
                <w:noProof/>
                <w:webHidden/>
              </w:rPr>
              <w:fldChar w:fldCharType="separate"/>
            </w:r>
            <w:r w:rsidR="0040681E">
              <w:rPr>
                <w:noProof/>
                <w:webHidden/>
              </w:rPr>
              <w:t>8</w:t>
            </w:r>
            <w:r w:rsidR="0040681E">
              <w:rPr>
                <w:noProof/>
                <w:webHidden/>
              </w:rPr>
              <w:fldChar w:fldCharType="end"/>
            </w:r>
          </w:hyperlink>
        </w:p>
        <w:p w14:paraId="50EC3834"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49" w:history="1">
            <w:r w:rsidR="0040681E" w:rsidRPr="0089715E">
              <w:rPr>
                <w:rStyle w:val="Lienhypertexte"/>
                <w:noProof/>
              </w:rPr>
              <w:t>6.1.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Energie et puissance</w:t>
            </w:r>
            <w:r w:rsidR="0040681E">
              <w:rPr>
                <w:noProof/>
                <w:webHidden/>
              </w:rPr>
              <w:tab/>
            </w:r>
            <w:r w:rsidR="0040681E">
              <w:rPr>
                <w:noProof/>
                <w:webHidden/>
              </w:rPr>
              <w:fldChar w:fldCharType="begin"/>
            </w:r>
            <w:r w:rsidR="0040681E">
              <w:rPr>
                <w:noProof/>
                <w:webHidden/>
              </w:rPr>
              <w:instrText xml:space="preserve"> PAGEREF _Toc110436449 \h </w:instrText>
            </w:r>
            <w:r w:rsidR="0040681E">
              <w:rPr>
                <w:noProof/>
                <w:webHidden/>
              </w:rPr>
            </w:r>
            <w:r w:rsidR="0040681E">
              <w:rPr>
                <w:noProof/>
                <w:webHidden/>
              </w:rPr>
              <w:fldChar w:fldCharType="separate"/>
            </w:r>
            <w:r w:rsidR="0040681E">
              <w:rPr>
                <w:noProof/>
                <w:webHidden/>
              </w:rPr>
              <w:t>8</w:t>
            </w:r>
            <w:r w:rsidR="0040681E">
              <w:rPr>
                <w:noProof/>
                <w:webHidden/>
              </w:rPr>
              <w:fldChar w:fldCharType="end"/>
            </w:r>
          </w:hyperlink>
        </w:p>
        <w:p w14:paraId="1135031A"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50" w:history="1">
            <w:r w:rsidR="0040681E" w:rsidRPr="0089715E">
              <w:rPr>
                <w:rStyle w:val="Lienhypertexte"/>
                <w:noProof/>
              </w:rPr>
              <w:t>7. Alimentation de l’installation, des auxiliaires et des besoins annexes</w:t>
            </w:r>
            <w:r w:rsidR="0040681E">
              <w:rPr>
                <w:noProof/>
                <w:webHidden/>
              </w:rPr>
              <w:tab/>
            </w:r>
            <w:r w:rsidR="0040681E">
              <w:rPr>
                <w:noProof/>
                <w:webHidden/>
              </w:rPr>
              <w:fldChar w:fldCharType="begin"/>
            </w:r>
            <w:r w:rsidR="0040681E">
              <w:rPr>
                <w:noProof/>
                <w:webHidden/>
              </w:rPr>
              <w:instrText xml:space="preserve"> PAGEREF _Toc110436450 \h </w:instrText>
            </w:r>
            <w:r w:rsidR="0040681E">
              <w:rPr>
                <w:noProof/>
                <w:webHidden/>
              </w:rPr>
            </w:r>
            <w:r w:rsidR="0040681E">
              <w:rPr>
                <w:noProof/>
                <w:webHidden/>
              </w:rPr>
              <w:fldChar w:fldCharType="separate"/>
            </w:r>
            <w:r w:rsidR="0040681E">
              <w:rPr>
                <w:noProof/>
                <w:webHidden/>
              </w:rPr>
              <w:t>8</w:t>
            </w:r>
            <w:r w:rsidR="0040681E">
              <w:rPr>
                <w:noProof/>
                <w:webHidden/>
              </w:rPr>
              <w:fldChar w:fldCharType="end"/>
            </w:r>
          </w:hyperlink>
        </w:p>
        <w:p w14:paraId="39C4B89D"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51" w:history="1">
            <w:r w:rsidR="0040681E" w:rsidRPr="0089715E">
              <w:rPr>
                <w:rStyle w:val="Lienhypertexte"/>
                <w:noProof/>
              </w:rPr>
              <w:t>8. Constitution du prix d’achat</w:t>
            </w:r>
            <w:r w:rsidR="0040681E">
              <w:rPr>
                <w:noProof/>
                <w:webHidden/>
              </w:rPr>
              <w:tab/>
            </w:r>
            <w:r w:rsidR="0040681E">
              <w:rPr>
                <w:noProof/>
                <w:webHidden/>
              </w:rPr>
              <w:fldChar w:fldCharType="begin"/>
            </w:r>
            <w:r w:rsidR="0040681E">
              <w:rPr>
                <w:noProof/>
                <w:webHidden/>
              </w:rPr>
              <w:instrText xml:space="preserve"> PAGEREF _Toc110436451 \h </w:instrText>
            </w:r>
            <w:r w:rsidR="0040681E">
              <w:rPr>
                <w:noProof/>
                <w:webHidden/>
              </w:rPr>
            </w:r>
            <w:r w:rsidR="0040681E">
              <w:rPr>
                <w:noProof/>
                <w:webHidden/>
              </w:rPr>
              <w:fldChar w:fldCharType="separate"/>
            </w:r>
            <w:r w:rsidR="0040681E">
              <w:rPr>
                <w:noProof/>
                <w:webHidden/>
              </w:rPr>
              <w:t>9</w:t>
            </w:r>
            <w:r w:rsidR="0040681E">
              <w:rPr>
                <w:noProof/>
                <w:webHidden/>
              </w:rPr>
              <w:fldChar w:fldCharType="end"/>
            </w:r>
          </w:hyperlink>
        </w:p>
        <w:p w14:paraId="4AEB3367"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52" w:history="1">
            <w:r w:rsidR="0040681E" w:rsidRPr="0089715E">
              <w:rPr>
                <w:rStyle w:val="Lienhypertexte"/>
                <w:noProof/>
              </w:rPr>
              <w:t>9. Prime de puissance garantie</w:t>
            </w:r>
            <w:r w:rsidR="0040681E">
              <w:rPr>
                <w:noProof/>
                <w:webHidden/>
              </w:rPr>
              <w:tab/>
            </w:r>
            <w:r w:rsidR="0040681E">
              <w:rPr>
                <w:noProof/>
                <w:webHidden/>
              </w:rPr>
              <w:fldChar w:fldCharType="begin"/>
            </w:r>
            <w:r w:rsidR="0040681E">
              <w:rPr>
                <w:noProof/>
                <w:webHidden/>
              </w:rPr>
              <w:instrText xml:space="preserve"> PAGEREF _Toc110436452 \h </w:instrText>
            </w:r>
            <w:r w:rsidR="0040681E">
              <w:rPr>
                <w:noProof/>
                <w:webHidden/>
              </w:rPr>
            </w:r>
            <w:r w:rsidR="0040681E">
              <w:rPr>
                <w:noProof/>
                <w:webHidden/>
              </w:rPr>
              <w:fldChar w:fldCharType="separate"/>
            </w:r>
            <w:r w:rsidR="0040681E">
              <w:rPr>
                <w:noProof/>
                <w:webHidden/>
              </w:rPr>
              <w:t>9</w:t>
            </w:r>
            <w:r w:rsidR="0040681E">
              <w:rPr>
                <w:noProof/>
                <w:webHidden/>
              </w:rPr>
              <w:fldChar w:fldCharType="end"/>
            </w:r>
          </w:hyperlink>
        </w:p>
        <w:p w14:paraId="3C1FE47D"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53" w:history="1">
            <w:r w:rsidR="0040681E" w:rsidRPr="0089715E">
              <w:rPr>
                <w:rStyle w:val="Lienhypertexte"/>
                <w:noProof/>
              </w:rPr>
              <w:t>9.1.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Etablissement de la valeur de référence de la prime de puissance garantie</w:t>
            </w:r>
            <w:r w:rsidR="0040681E">
              <w:rPr>
                <w:noProof/>
                <w:webHidden/>
              </w:rPr>
              <w:tab/>
            </w:r>
            <w:r w:rsidR="0040681E">
              <w:rPr>
                <w:noProof/>
                <w:webHidden/>
              </w:rPr>
              <w:fldChar w:fldCharType="begin"/>
            </w:r>
            <w:r w:rsidR="0040681E">
              <w:rPr>
                <w:noProof/>
                <w:webHidden/>
              </w:rPr>
              <w:instrText xml:space="preserve"> PAGEREF _Toc110436453 \h </w:instrText>
            </w:r>
            <w:r w:rsidR="0040681E">
              <w:rPr>
                <w:noProof/>
                <w:webHidden/>
              </w:rPr>
            </w:r>
            <w:r w:rsidR="0040681E">
              <w:rPr>
                <w:noProof/>
                <w:webHidden/>
              </w:rPr>
              <w:fldChar w:fldCharType="separate"/>
            </w:r>
            <w:r w:rsidR="0040681E">
              <w:rPr>
                <w:noProof/>
                <w:webHidden/>
              </w:rPr>
              <w:t>9</w:t>
            </w:r>
            <w:r w:rsidR="0040681E">
              <w:rPr>
                <w:noProof/>
                <w:webHidden/>
              </w:rPr>
              <w:fldChar w:fldCharType="end"/>
            </w:r>
          </w:hyperlink>
        </w:p>
        <w:p w14:paraId="2E8D62BB" w14:textId="77777777" w:rsidR="0040681E" w:rsidRDefault="00A775B6">
          <w:pPr>
            <w:pStyle w:val="TM3"/>
            <w:rPr>
              <w:rFonts w:asciiTheme="minorHAnsi" w:eastAsiaTheme="minorEastAsia" w:hAnsiTheme="minorHAnsi" w:cstheme="minorBidi"/>
              <w:color w:val="auto"/>
              <w:szCs w:val="22"/>
              <w:lang w:eastAsia="fr-FR"/>
            </w:rPr>
          </w:pPr>
          <w:hyperlink w:anchor="_Toc110436454" w:history="1">
            <w:r w:rsidR="0040681E" w:rsidRPr="0089715E">
              <w:rPr>
                <w:rStyle w:val="Lienhypertexte"/>
              </w:rPr>
              <w:t>9.1.1. Valeur initiale de la Prime de Puissance Garantie</w:t>
            </w:r>
            <w:r w:rsidR="0040681E">
              <w:rPr>
                <w:webHidden/>
              </w:rPr>
              <w:tab/>
            </w:r>
            <w:r w:rsidR="0040681E">
              <w:rPr>
                <w:webHidden/>
              </w:rPr>
              <w:fldChar w:fldCharType="begin"/>
            </w:r>
            <w:r w:rsidR="0040681E">
              <w:rPr>
                <w:webHidden/>
              </w:rPr>
              <w:instrText xml:space="preserve"> PAGEREF _Toc110436454 \h </w:instrText>
            </w:r>
            <w:r w:rsidR="0040681E">
              <w:rPr>
                <w:webHidden/>
              </w:rPr>
            </w:r>
            <w:r w:rsidR="0040681E">
              <w:rPr>
                <w:webHidden/>
              </w:rPr>
              <w:fldChar w:fldCharType="separate"/>
            </w:r>
            <w:r w:rsidR="0040681E">
              <w:rPr>
                <w:webHidden/>
              </w:rPr>
              <w:t>9</w:t>
            </w:r>
            <w:r w:rsidR="0040681E">
              <w:rPr>
                <w:webHidden/>
              </w:rPr>
              <w:fldChar w:fldCharType="end"/>
            </w:r>
          </w:hyperlink>
        </w:p>
        <w:p w14:paraId="0111792D" w14:textId="77777777" w:rsidR="0040681E" w:rsidRDefault="00A775B6">
          <w:pPr>
            <w:pStyle w:val="TM3"/>
            <w:rPr>
              <w:rFonts w:asciiTheme="minorHAnsi" w:eastAsiaTheme="minorEastAsia" w:hAnsiTheme="minorHAnsi" w:cstheme="minorBidi"/>
              <w:color w:val="auto"/>
              <w:szCs w:val="22"/>
              <w:lang w:eastAsia="fr-FR"/>
            </w:rPr>
          </w:pPr>
          <w:hyperlink w:anchor="_Toc110436455" w:history="1">
            <w:r w:rsidR="0040681E" w:rsidRPr="0089715E">
              <w:rPr>
                <w:rStyle w:val="Lienhypertexte"/>
              </w:rPr>
              <w:t>9.1.2. Révision de la valeur de référence initiale de la Prime de Puissance Garantie après la Mise en Service Industrielle de l’Installation</w:t>
            </w:r>
            <w:r w:rsidR="0040681E">
              <w:rPr>
                <w:webHidden/>
              </w:rPr>
              <w:tab/>
            </w:r>
            <w:r w:rsidR="0040681E">
              <w:rPr>
                <w:webHidden/>
              </w:rPr>
              <w:fldChar w:fldCharType="begin"/>
            </w:r>
            <w:r w:rsidR="0040681E">
              <w:rPr>
                <w:webHidden/>
              </w:rPr>
              <w:instrText xml:space="preserve"> PAGEREF _Toc110436455 \h </w:instrText>
            </w:r>
            <w:r w:rsidR="0040681E">
              <w:rPr>
                <w:webHidden/>
              </w:rPr>
            </w:r>
            <w:r w:rsidR="0040681E">
              <w:rPr>
                <w:webHidden/>
              </w:rPr>
              <w:fldChar w:fldCharType="separate"/>
            </w:r>
            <w:r w:rsidR="0040681E">
              <w:rPr>
                <w:webHidden/>
              </w:rPr>
              <w:t>10</w:t>
            </w:r>
            <w:r w:rsidR="0040681E">
              <w:rPr>
                <w:webHidden/>
              </w:rPr>
              <w:fldChar w:fldCharType="end"/>
            </w:r>
          </w:hyperlink>
        </w:p>
        <w:p w14:paraId="166273A4" w14:textId="77777777" w:rsidR="0040681E" w:rsidRDefault="00A775B6">
          <w:pPr>
            <w:pStyle w:val="TM3"/>
            <w:rPr>
              <w:rFonts w:asciiTheme="minorHAnsi" w:eastAsiaTheme="minorEastAsia" w:hAnsiTheme="minorHAnsi" w:cstheme="minorBidi"/>
              <w:color w:val="auto"/>
              <w:szCs w:val="22"/>
              <w:lang w:eastAsia="fr-FR"/>
            </w:rPr>
          </w:pPr>
          <w:hyperlink w:anchor="_Toc110436456" w:history="1">
            <w:r w:rsidR="0040681E" w:rsidRPr="0089715E">
              <w:rPr>
                <w:rStyle w:val="Lienhypertexte"/>
              </w:rPr>
              <w:t>9.1.3. Fourniture des justificatifs relatifs aux coûts d’investissement et de raccordement</w:t>
            </w:r>
            <w:r w:rsidR="0040681E">
              <w:rPr>
                <w:webHidden/>
              </w:rPr>
              <w:tab/>
            </w:r>
            <w:r w:rsidR="0040681E">
              <w:rPr>
                <w:webHidden/>
              </w:rPr>
              <w:fldChar w:fldCharType="begin"/>
            </w:r>
            <w:r w:rsidR="0040681E">
              <w:rPr>
                <w:webHidden/>
              </w:rPr>
              <w:instrText xml:space="preserve"> PAGEREF _Toc110436456 \h </w:instrText>
            </w:r>
            <w:r w:rsidR="0040681E">
              <w:rPr>
                <w:webHidden/>
              </w:rPr>
            </w:r>
            <w:r w:rsidR="0040681E">
              <w:rPr>
                <w:webHidden/>
              </w:rPr>
              <w:fldChar w:fldCharType="separate"/>
            </w:r>
            <w:r w:rsidR="0040681E">
              <w:rPr>
                <w:webHidden/>
              </w:rPr>
              <w:t>11</w:t>
            </w:r>
            <w:r w:rsidR="0040681E">
              <w:rPr>
                <w:webHidden/>
              </w:rPr>
              <w:fldChar w:fldCharType="end"/>
            </w:r>
          </w:hyperlink>
        </w:p>
        <w:p w14:paraId="59FB0836" w14:textId="77777777" w:rsidR="0040681E" w:rsidRDefault="00A775B6">
          <w:pPr>
            <w:pStyle w:val="TM3"/>
            <w:rPr>
              <w:rFonts w:asciiTheme="minorHAnsi" w:eastAsiaTheme="minorEastAsia" w:hAnsiTheme="minorHAnsi" w:cstheme="minorBidi"/>
              <w:color w:val="auto"/>
              <w:szCs w:val="22"/>
              <w:lang w:eastAsia="fr-FR"/>
            </w:rPr>
          </w:pPr>
          <w:hyperlink w:anchor="_Toc110436457" w:history="1">
            <w:r w:rsidR="0040681E" w:rsidRPr="0089715E">
              <w:rPr>
                <w:rStyle w:val="Lienhypertexte"/>
              </w:rPr>
              <w:t>9.1.4. Traitement des subventions et des aides fiscales à l’investissement spécifiques au projet</w:t>
            </w:r>
            <w:r w:rsidR="0040681E">
              <w:rPr>
                <w:webHidden/>
              </w:rPr>
              <w:tab/>
            </w:r>
            <w:r w:rsidR="0040681E">
              <w:rPr>
                <w:webHidden/>
              </w:rPr>
              <w:fldChar w:fldCharType="begin"/>
            </w:r>
            <w:r w:rsidR="0040681E">
              <w:rPr>
                <w:webHidden/>
              </w:rPr>
              <w:instrText xml:space="preserve"> PAGEREF _Toc110436457 \h </w:instrText>
            </w:r>
            <w:r w:rsidR="0040681E">
              <w:rPr>
                <w:webHidden/>
              </w:rPr>
            </w:r>
            <w:r w:rsidR="0040681E">
              <w:rPr>
                <w:webHidden/>
              </w:rPr>
              <w:fldChar w:fldCharType="separate"/>
            </w:r>
            <w:r w:rsidR="0040681E">
              <w:rPr>
                <w:webHidden/>
              </w:rPr>
              <w:t>11</w:t>
            </w:r>
            <w:r w:rsidR="0040681E">
              <w:rPr>
                <w:webHidden/>
              </w:rPr>
              <w:fldChar w:fldCharType="end"/>
            </w:r>
          </w:hyperlink>
        </w:p>
        <w:p w14:paraId="0E76D65A"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58" w:history="1">
            <w:r w:rsidR="0040681E" w:rsidRPr="0089715E">
              <w:rPr>
                <w:rStyle w:val="Lienhypertexte"/>
                <w:noProof/>
              </w:rPr>
              <w:t>9.2.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Etablissement du système d’indexation de la prime de puissance garantie</w:t>
            </w:r>
            <w:r w:rsidR="0040681E">
              <w:rPr>
                <w:noProof/>
                <w:webHidden/>
              </w:rPr>
              <w:tab/>
            </w:r>
            <w:r w:rsidR="0040681E">
              <w:rPr>
                <w:noProof/>
                <w:webHidden/>
              </w:rPr>
              <w:fldChar w:fldCharType="begin"/>
            </w:r>
            <w:r w:rsidR="0040681E">
              <w:rPr>
                <w:noProof/>
                <w:webHidden/>
              </w:rPr>
              <w:instrText xml:space="preserve"> PAGEREF _Toc110436458 \h </w:instrText>
            </w:r>
            <w:r w:rsidR="0040681E">
              <w:rPr>
                <w:noProof/>
                <w:webHidden/>
              </w:rPr>
            </w:r>
            <w:r w:rsidR="0040681E">
              <w:rPr>
                <w:noProof/>
                <w:webHidden/>
              </w:rPr>
              <w:fldChar w:fldCharType="separate"/>
            </w:r>
            <w:r w:rsidR="0040681E">
              <w:rPr>
                <w:noProof/>
                <w:webHidden/>
              </w:rPr>
              <w:t>11</w:t>
            </w:r>
            <w:r w:rsidR="0040681E">
              <w:rPr>
                <w:noProof/>
                <w:webHidden/>
              </w:rPr>
              <w:fldChar w:fldCharType="end"/>
            </w:r>
          </w:hyperlink>
        </w:p>
        <w:p w14:paraId="0009E496" w14:textId="77777777" w:rsidR="0040681E" w:rsidRDefault="00A775B6">
          <w:pPr>
            <w:pStyle w:val="TM3"/>
            <w:rPr>
              <w:rFonts w:asciiTheme="minorHAnsi" w:eastAsiaTheme="minorEastAsia" w:hAnsiTheme="minorHAnsi" w:cstheme="minorBidi"/>
              <w:color w:val="auto"/>
              <w:szCs w:val="22"/>
              <w:lang w:eastAsia="fr-FR"/>
            </w:rPr>
          </w:pPr>
          <w:hyperlink w:anchor="_Toc110436459" w:history="1">
            <w:r w:rsidR="0040681E" w:rsidRPr="0089715E">
              <w:rPr>
                <w:rStyle w:val="Lienhypertexte"/>
              </w:rPr>
              <w:t>9.2.1. Formule d’indexation de la Prime de Puissance Garantie</w:t>
            </w:r>
            <w:r w:rsidR="0040681E">
              <w:rPr>
                <w:webHidden/>
              </w:rPr>
              <w:tab/>
            </w:r>
            <w:r w:rsidR="0040681E">
              <w:rPr>
                <w:webHidden/>
              </w:rPr>
              <w:fldChar w:fldCharType="begin"/>
            </w:r>
            <w:r w:rsidR="0040681E">
              <w:rPr>
                <w:webHidden/>
              </w:rPr>
              <w:instrText xml:space="preserve"> PAGEREF _Toc110436459 \h </w:instrText>
            </w:r>
            <w:r w:rsidR="0040681E">
              <w:rPr>
                <w:webHidden/>
              </w:rPr>
            </w:r>
            <w:r w:rsidR="0040681E">
              <w:rPr>
                <w:webHidden/>
              </w:rPr>
              <w:fldChar w:fldCharType="separate"/>
            </w:r>
            <w:r w:rsidR="0040681E">
              <w:rPr>
                <w:webHidden/>
              </w:rPr>
              <w:t>11</w:t>
            </w:r>
            <w:r w:rsidR="0040681E">
              <w:rPr>
                <w:webHidden/>
              </w:rPr>
              <w:fldChar w:fldCharType="end"/>
            </w:r>
          </w:hyperlink>
        </w:p>
        <w:p w14:paraId="1692F036" w14:textId="77777777" w:rsidR="0040681E" w:rsidRDefault="00A775B6">
          <w:pPr>
            <w:pStyle w:val="TM3"/>
            <w:rPr>
              <w:rFonts w:asciiTheme="minorHAnsi" w:eastAsiaTheme="minorEastAsia" w:hAnsiTheme="minorHAnsi" w:cstheme="minorBidi"/>
              <w:color w:val="auto"/>
              <w:szCs w:val="22"/>
              <w:lang w:eastAsia="fr-FR"/>
            </w:rPr>
          </w:pPr>
          <w:hyperlink w:anchor="_Toc110436460" w:history="1">
            <w:r w:rsidR="0040681E" w:rsidRPr="0089715E">
              <w:rPr>
                <w:rStyle w:val="Lienhypertexte"/>
              </w:rPr>
              <w:t>9.2.2. Modification des indices utilisés pour l’indexation de la Prime de Puissance Garantie</w:t>
            </w:r>
            <w:r w:rsidR="0040681E">
              <w:rPr>
                <w:webHidden/>
              </w:rPr>
              <w:tab/>
            </w:r>
            <w:r w:rsidR="0040681E">
              <w:rPr>
                <w:webHidden/>
              </w:rPr>
              <w:fldChar w:fldCharType="begin"/>
            </w:r>
            <w:r w:rsidR="0040681E">
              <w:rPr>
                <w:webHidden/>
              </w:rPr>
              <w:instrText xml:space="preserve"> PAGEREF _Toc110436460 \h </w:instrText>
            </w:r>
            <w:r w:rsidR="0040681E">
              <w:rPr>
                <w:webHidden/>
              </w:rPr>
            </w:r>
            <w:r w:rsidR="0040681E">
              <w:rPr>
                <w:webHidden/>
              </w:rPr>
              <w:fldChar w:fldCharType="separate"/>
            </w:r>
            <w:r w:rsidR="0040681E">
              <w:rPr>
                <w:webHidden/>
              </w:rPr>
              <w:t>13</w:t>
            </w:r>
            <w:r w:rsidR="0040681E">
              <w:rPr>
                <w:webHidden/>
              </w:rPr>
              <w:fldChar w:fldCharType="end"/>
            </w:r>
          </w:hyperlink>
        </w:p>
        <w:p w14:paraId="1E16176B" w14:textId="77777777" w:rsidR="0040681E" w:rsidRDefault="00A775B6">
          <w:pPr>
            <w:pStyle w:val="TM3"/>
            <w:rPr>
              <w:rFonts w:asciiTheme="minorHAnsi" w:eastAsiaTheme="minorEastAsia" w:hAnsiTheme="minorHAnsi" w:cstheme="minorBidi"/>
              <w:color w:val="auto"/>
              <w:szCs w:val="22"/>
              <w:lang w:eastAsia="fr-FR"/>
            </w:rPr>
          </w:pPr>
          <w:hyperlink w:anchor="_Toc110436461" w:history="1">
            <w:r w:rsidR="0040681E" w:rsidRPr="0089715E">
              <w:rPr>
                <w:rStyle w:val="Lienhypertexte"/>
              </w:rPr>
              <w:t>9.2.3. Particularité de la valeur de la Prime de Puissance Garantie le premier mois de la Mise en Service Industrielle et le dernier mois du Contrat</w:t>
            </w:r>
            <w:r w:rsidR="0040681E">
              <w:rPr>
                <w:webHidden/>
              </w:rPr>
              <w:tab/>
            </w:r>
            <w:r w:rsidR="0040681E">
              <w:rPr>
                <w:webHidden/>
              </w:rPr>
              <w:fldChar w:fldCharType="begin"/>
            </w:r>
            <w:r w:rsidR="0040681E">
              <w:rPr>
                <w:webHidden/>
              </w:rPr>
              <w:instrText xml:space="preserve"> PAGEREF _Toc110436461 \h </w:instrText>
            </w:r>
            <w:r w:rsidR="0040681E">
              <w:rPr>
                <w:webHidden/>
              </w:rPr>
            </w:r>
            <w:r w:rsidR="0040681E">
              <w:rPr>
                <w:webHidden/>
              </w:rPr>
              <w:fldChar w:fldCharType="separate"/>
            </w:r>
            <w:r w:rsidR="0040681E">
              <w:rPr>
                <w:webHidden/>
              </w:rPr>
              <w:t>13</w:t>
            </w:r>
            <w:r w:rsidR="0040681E">
              <w:rPr>
                <w:webHidden/>
              </w:rPr>
              <w:fldChar w:fldCharType="end"/>
            </w:r>
          </w:hyperlink>
        </w:p>
        <w:p w14:paraId="508D3629" w14:textId="77777777" w:rsidR="0040681E" w:rsidRDefault="00A775B6">
          <w:pPr>
            <w:pStyle w:val="TM3"/>
            <w:rPr>
              <w:rFonts w:asciiTheme="minorHAnsi" w:eastAsiaTheme="minorEastAsia" w:hAnsiTheme="minorHAnsi" w:cstheme="minorBidi"/>
              <w:color w:val="auto"/>
              <w:szCs w:val="22"/>
              <w:lang w:eastAsia="fr-FR"/>
            </w:rPr>
          </w:pPr>
          <w:hyperlink w:anchor="_Toc110436462" w:history="1">
            <w:r w:rsidR="0040681E" w:rsidRPr="0089715E">
              <w:rPr>
                <w:rStyle w:val="Lienhypertexte"/>
              </w:rPr>
              <w:t>9.2.4. Particularités des composantes du contrat liés à la Prime de Puissance Garantie la première et la dernière année de fonctionnement de l’Installation</w:t>
            </w:r>
            <w:r w:rsidR="0040681E">
              <w:rPr>
                <w:webHidden/>
              </w:rPr>
              <w:tab/>
            </w:r>
            <w:r w:rsidR="0040681E">
              <w:rPr>
                <w:webHidden/>
              </w:rPr>
              <w:fldChar w:fldCharType="begin"/>
            </w:r>
            <w:r w:rsidR="0040681E">
              <w:rPr>
                <w:webHidden/>
              </w:rPr>
              <w:instrText xml:space="preserve"> PAGEREF _Toc110436462 \h </w:instrText>
            </w:r>
            <w:r w:rsidR="0040681E">
              <w:rPr>
                <w:webHidden/>
              </w:rPr>
            </w:r>
            <w:r w:rsidR="0040681E">
              <w:rPr>
                <w:webHidden/>
              </w:rPr>
              <w:fldChar w:fldCharType="separate"/>
            </w:r>
            <w:r w:rsidR="0040681E">
              <w:rPr>
                <w:webHidden/>
              </w:rPr>
              <w:t>13</w:t>
            </w:r>
            <w:r w:rsidR="0040681E">
              <w:rPr>
                <w:webHidden/>
              </w:rPr>
              <w:fldChar w:fldCharType="end"/>
            </w:r>
          </w:hyperlink>
        </w:p>
        <w:p w14:paraId="5463A5D6"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63" w:history="1">
            <w:r w:rsidR="0040681E" w:rsidRPr="0089715E">
              <w:rPr>
                <w:rStyle w:val="Lienhypertexte"/>
                <w:noProof/>
              </w:rPr>
              <w:t>10. Planning de disponibilité</w:t>
            </w:r>
            <w:r w:rsidR="0040681E">
              <w:rPr>
                <w:noProof/>
                <w:webHidden/>
              </w:rPr>
              <w:tab/>
            </w:r>
            <w:r w:rsidR="0040681E">
              <w:rPr>
                <w:noProof/>
                <w:webHidden/>
              </w:rPr>
              <w:fldChar w:fldCharType="begin"/>
            </w:r>
            <w:r w:rsidR="0040681E">
              <w:rPr>
                <w:noProof/>
                <w:webHidden/>
              </w:rPr>
              <w:instrText xml:space="preserve"> PAGEREF _Toc110436463 \h </w:instrText>
            </w:r>
            <w:r w:rsidR="0040681E">
              <w:rPr>
                <w:noProof/>
                <w:webHidden/>
              </w:rPr>
            </w:r>
            <w:r w:rsidR="0040681E">
              <w:rPr>
                <w:noProof/>
                <w:webHidden/>
              </w:rPr>
              <w:fldChar w:fldCharType="separate"/>
            </w:r>
            <w:r w:rsidR="0040681E">
              <w:rPr>
                <w:noProof/>
                <w:webHidden/>
              </w:rPr>
              <w:t>13</w:t>
            </w:r>
            <w:r w:rsidR="0040681E">
              <w:rPr>
                <w:noProof/>
                <w:webHidden/>
              </w:rPr>
              <w:fldChar w:fldCharType="end"/>
            </w:r>
          </w:hyperlink>
        </w:p>
        <w:p w14:paraId="0DDDEA4C"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64" w:history="1">
            <w:r w:rsidR="0040681E" w:rsidRPr="0089715E">
              <w:rPr>
                <w:rStyle w:val="Lienhypertexte"/>
                <w:noProof/>
              </w:rPr>
              <w:t>10.1.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Planning annuel de disponibilité</w:t>
            </w:r>
            <w:r w:rsidR="0040681E">
              <w:rPr>
                <w:noProof/>
                <w:webHidden/>
              </w:rPr>
              <w:tab/>
            </w:r>
            <w:r w:rsidR="0040681E">
              <w:rPr>
                <w:noProof/>
                <w:webHidden/>
              </w:rPr>
              <w:fldChar w:fldCharType="begin"/>
            </w:r>
            <w:r w:rsidR="0040681E">
              <w:rPr>
                <w:noProof/>
                <w:webHidden/>
              </w:rPr>
              <w:instrText xml:space="preserve"> PAGEREF _Toc110436464 \h </w:instrText>
            </w:r>
            <w:r w:rsidR="0040681E">
              <w:rPr>
                <w:noProof/>
                <w:webHidden/>
              </w:rPr>
            </w:r>
            <w:r w:rsidR="0040681E">
              <w:rPr>
                <w:noProof/>
                <w:webHidden/>
              </w:rPr>
              <w:fldChar w:fldCharType="separate"/>
            </w:r>
            <w:r w:rsidR="0040681E">
              <w:rPr>
                <w:noProof/>
                <w:webHidden/>
              </w:rPr>
              <w:t>13</w:t>
            </w:r>
            <w:r w:rsidR="0040681E">
              <w:rPr>
                <w:noProof/>
                <w:webHidden/>
              </w:rPr>
              <w:fldChar w:fldCharType="end"/>
            </w:r>
          </w:hyperlink>
        </w:p>
        <w:p w14:paraId="15721A23"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65" w:history="1">
            <w:r w:rsidR="0040681E" w:rsidRPr="0089715E">
              <w:rPr>
                <w:rStyle w:val="Lienhypertexte"/>
                <w:noProof/>
              </w:rPr>
              <w:t>10.2.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Planning hebdomadaire de disponibilité</w:t>
            </w:r>
            <w:r w:rsidR="0040681E">
              <w:rPr>
                <w:noProof/>
                <w:webHidden/>
              </w:rPr>
              <w:tab/>
            </w:r>
            <w:r w:rsidR="0040681E">
              <w:rPr>
                <w:noProof/>
                <w:webHidden/>
              </w:rPr>
              <w:fldChar w:fldCharType="begin"/>
            </w:r>
            <w:r w:rsidR="0040681E">
              <w:rPr>
                <w:noProof/>
                <w:webHidden/>
              </w:rPr>
              <w:instrText xml:space="preserve"> PAGEREF _Toc110436465 \h </w:instrText>
            </w:r>
            <w:r w:rsidR="0040681E">
              <w:rPr>
                <w:noProof/>
                <w:webHidden/>
              </w:rPr>
            </w:r>
            <w:r w:rsidR="0040681E">
              <w:rPr>
                <w:noProof/>
                <w:webHidden/>
              </w:rPr>
              <w:fldChar w:fldCharType="separate"/>
            </w:r>
            <w:r w:rsidR="0040681E">
              <w:rPr>
                <w:noProof/>
                <w:webHidden/>
              </w:rPr>
              <w:t>14</w:t>
            </w:r>
            <w:r w:rsidR="0040681E">
              <w:rPr>
                <w:noProof/>
                <w:webHidden/>
              </w:rPr>
              <w:fldChar w:fldCharType="end"/>
            </w:r>
          </w:hyperlink>
        </w:p>
        <w:p w14:paraId="556170DA"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66" w:history="1">
            <w:r w:rsidR="0040681E" w:rsidRPr="0089715E">
              <w:rPr>
                <w:rStyle w:val="Lienhypertexte"/>
                <w:noProof/>
              </w:rPr>
              <w:t>11. Etablissement de l’objectif de disponibilité</w:t>
            </w:r>
            <w:r w:rsidR="0040681E">
              <w:rPr>
                <w:noProof/>
                <w:webHidden/>
              </w:rPr>
              <w:tab/>
            </w:r>
            <w:r w:rsidR="0040681E">
              <w:rPr>
                <w:noProof/>
                <w:webHidden/>
              </w:rPr>
              <w:fldChar w:fldCharType="begin"/>
            </w:r>
            <w:r w:rsidR="0040681E">
              <w:rPr>
                <w:noProof/>
                <w:webHidden/>
              </w:rPr>
              <w:instrText xml:space="preserve"> PAGEREF _Toc110436466 \h </w:instrText>
            </w:r>
            <w:r w:rsidR="0040681E">
              <w:rPr>
                <w:noProof/>
                <w:webHidden/>
              </w:rPr>
            </w:r>
            <w:r w:rsidR="0040681E">
              <w:rPr>
                <w:noProof/>
                <w:webHidden/>
              </w:rPr>
              <w:fldChar w:fldCharType="separate"/>
            </w:r>
            <w:r w:rsidR="0040681E">
              <w:rPr>
                <w:noProof/>
                <w:webHidden/>
              </w:rPr>
              <w:t>14</w:t>
            </w:r>
            <w:r w:rsidR="0040681E">
              <w:rPr>
                <w:noProof/>
                <w:webHidden/>
              </w:rPr>
              <w:fldChar w:fldCharType="end"/>
            </w:r>
          </w:hyperlink>
        </w:p>
        <w:p w14:paraId="1633479F"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67" w:history="1">
            <w:r w:rsidR="0040681E" w:rsidRPr="0089715E">
              <w:rPr>
                <w:rStyle w:val="Lienhypertexte"/>
                <w:noProof/>
              </w:rPr>
              <w:t>11.1.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Calcul du Bonus Malus annuel</w:t>
            </w:r>
            <w:r w:rsidR="0040681E">
              <w:rPr>
                <w:noProof/>
                <w:webHidden/>
              </w:rPr>
              <w:tab/>
            </w:r>
            <w:r w:rsidR="0040681E">
              <w:rPr>
                <w:noProof/>
                <w:webHidden/>
              </w:rPr>
              <w:fldChar w:fldCharType="begin"/>
            </w:r>
            <w:r w:rsidR="0040681E">
              <w:rPr>
                <w:noProof/>
                <w:webHidden/>
              </w:rPr>
              <w:instrText xml:space="preserve"> PAGEREF _Toc110436467 \h </w:instrText>
            </w:r>
            <w:r w:rsidR="0040681E">
              <w:rPr>
                <w:noProof/>
                <w:webHidden/>
              </w:rPr>
            </w:r>
            <w:r w:rsidR="0040681E">
              <w:rPr>
                <w:noProof/>
                <w:webHidden/>
              </w:rPr>
              <w:fldChar w:fldCharType="separate"/>
            </w:r>
            <w:r w:rsidR="0040681E">
              <w:rPr>
                <w:noProof/>
                <w:webHidden/>
              </w:rPr>
              <w:t>16</w:t>
            </w:r>
            <w:r w:rsidR="0040681E">
              <w:rPr>
                <w:noProof/>
                <w:webHidden/>
              </w:rPr>
              <w:fldChar w:fldCharType="end"/>
            </w:r>
          </w:hyperlink>
        </w:p>
        <w:p w14:paraId="484F4BDE"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68" w:history="1">
            <w:r w:rsidR="0040681E" w:rsidRPr="0089715E">
              <w:rPr>
                <w:rStyle w:val="Lienhypertexte"/>
                <w:noProof/>
              </w:rPr>
              <w:t>11.2.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Description des procédures de mesure et de contrôle du KD et de constatation des écarts par rapport aux objectifs</w:t>
            </w:r>
            <w:r w:rsidR="0040681E">
              <w:rPr>
                <w:noProof/>
                <w:webHidden/>
              </w:rPr>
              <w:tab/>
            </w:r>
            <w:r w:rsidR="0040681E">
              <w:rPr>
                <w:noProof/>
                <w:webHidden/>
              </w:rPr>
              <w:fldChar w:fldCharType="begin"/>
            </w:r>
            <w:r w:rsidR="0040681E">
              <w:rPr>
                <w:noProof/>
                <w:webHidden/>
              </w:rPr>
              <w:instrText xml:space="preserve"> PAGEREF _Toc110436468 \h </w:instrText>
            </w:r>
            <w:r w:rsidR="0040681E">
              <w:rPr>
                <w:noProof/>
                <w:webHidden/>
              </w:rPr>
            </w:r>
            <w:r w:rsidR="0040681E">
              <w:rPr>
                <w:noProof/>
                <w:webHidden/>
              </w:rPr>
              <w:fldChar w:fldCharType="separate"/>
            </w:r>
            <w:r w:rsidR="0040681E">
              <w:rPr>
                <w:noProof/>
                <w:webHidden/>
              </w:rPr>
              <w:t>16</w:t>
            </w:r>
            <w:r w:rsidR="0040681E">
              <w:rPr>
                <w:noProof/>
                <w:webHidden/>
              </w:rPr>
              <w:fldChar w:fldCharType="end"/>
            </w:r>
          </w:hyperlink>
        </w:p>
        <w:p w14:paraId="251E6AD4"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69" w:history="1">
            <w:r w:rsidR="0040681E" w:rsidRPr="0089715E">
              <w:rPr>
                <w:rStyle w:val="Lienhypertexte"/>
                <w:noProof/>
              </w:rPr>
              <w:t>11.3.</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Déclaration d’indisponibilité par le GRT</w:t>
            </w:r>
            <w:r w:rsidR="0040681E">
              <w:rPr>
                <w:noProof/>
                <w:webHidden/>
              </w:rPr>
              <w:tab/>
            </w:r>
            <w:r w:rsidR="0040681E">
              <w:rPr>
                <w:noProof/>
                <w:webHidden/>
              </w:rPr>
              <w:fldChar w:fldCharType="begin"/>
            </w:r>
            <w:r w:rsidR="0040681E">
              <w:rPr>
                <w:noProof/>
                <w:webHidden/>
              </w:rPr>
              <w:instrText xml:space="preserve"> PAGEREF _Toc110436469 \h </w:instrText>
            </w:r>
            <w:r w:rsidR="0040681E">
              <w:rPr>
                <w:noProof/>
                <w:webHidden/>
              </w:rPr>
            </w:r>
            <w:r w:rsidR="0040681E">
              <w:rPr>
                <w:noProof/>
                <w:webHidden/>
              </w:rPr>
              <w:fldChar w:fldCharType="separate"/>
            </w:r>
            <w:r w:rsidR="0040681E">
              <w:rPr>
                <w:noProof/>
                <w:webHidden/>
              </w:rPr>
              <w:t>17</w:t>
            </w:r>
            <w:r w:rsidR="0040681E">
              <w:rPr>
                <w:noProof/>
                <w:webHidden/>
              </w:rPr>
              <w:fldChar w:fldCharType="end"/>
            </w:r>
          </w:hyperlink>
        </w:p>
        <w:p w14:paraId="1AF4FF11"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70" w:history="1">
            <w:r w:rsidR="0040681E" w:rsidRPr="0089715E">
              <w:rPr>
                <w:rStyle w:val="Lienhypertexte"/>
                <w:noProof/>
              </w:rPr>
              <w:t>12. Indicateurs de performance et pénalités</w:t>
            </w:r>
            <w:r w:rsidR="0040681E">
              <w:rPr>
                <w:noProof/>
                <w:webHidden/>
              </w:rPr>
              <w:tab/>
            </w:r>
            <w:r w:rsidR="0040681E">
              <w:rPr>
                <w:noProof/>
                <w:webHidden/>
              </w:rPr>
              <w:fldChar w:fldCharType="begin"/>
            </w:r>
            <w:r w:rsidR="0040681E">
              <w:rPr>
                <w:noProof/>
                <w:webHidden/>
              </w:rPr>
              <w:instrText xml:space="preserve"> PAGEREF _Toc110436470 \h </w:instrText>
            </w:r>
            <w:r w:rsidR="0040681E">
              <w:rPr>
                <w:noProof/>
                <w:webHidden/>
              </w:rPr>
            </w:r>
            <w:r w:rsidR="0040681E">
              <w:rPr>
                <w:noProof/>
                <w:webHidden/>
              </w:rPr>
              <w:fldChar w:fldCharType="separate"/>
            </w:r>
            <w:r w:rsidR="0040681E">
              <w:rPr>
                <w:noProof/>
                <w:webHidden/>
              </w:rPr>
              <w:t>17</w:t>
            </w:r>
            <w:r w:rsidR="0040681E">
              <w:rPr>
                <w:noProof/>
                <w:webHidden/>
              </w:rPr>
              <w:fldChar w:fldCharType="end"/>
            </w:r>
          </w:hyperlink>
        </w:p>
        <w:p w14:paraId="43E9DD8E"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71" w:history="1">
            <w:r w:rsidR="0040681E" w:rsidRPr="0089715E">
              <w:rPr>
                <w:rStyle w:val="Lienhypertexte"/>
                <w:noProof/>
              </w:rPr>
              <w:t>12.1.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Principes</w:t>
            </w:r>
            <w:r w:rsidR="0040681E">
              <w:rPr>
                <w:noProof/>
                <w:webHidden/>
              </w:rPr>
              <w:tab/>
            </w:r>
            <w:r w:rsidR="0040681E">
              <w:rPr>
                <w:noProof/>
                <w:webHidden/>
              </w:rPr>
              <w:fldChar w:fldCharType="begin"/>
            </w:r>
            <w:r w:rsidR="0040681E">
              <w:rPr>
                <w:noProof/>
                <w:webHidden/>
              </w:rPr>
              <w:instrText xml:space="preserve"> PAGEREF _Toc110436471 \h </w:instrText>
            </w:r>
            <w:r w:rsidR="0040681E">
              <w:rPr>
                <w:noProof/>
                <w:webHidden/>
              </w:rPr>
            </w:r>
            <w:r w:rsidR="0040681E">
              <w:rPr>
                <w:noProof/>
                <w:webHidden/>
              </w:rPr>
              <w:fldChar w:fldCharType="separate"/>
            </w:r>
            <w:r w:rsidR="0040681E">
              <w:rPr>
                <w:noProof/>
                <w:webHidden/>
              </w:rPr>
              <w:t>17</w:t>
            </w:r>
            <w:r w:rsidR="0040681E">
              <w:rPr>
                <w:noProof/>
                <w:webHidden/>
              </w:rPr>
              <w:fldChar w:fldCharType="end"/>
            </w:r>
          </w:hyperlink>
        </w:p>
        <w:p w14:paraId="7DE57B21"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72" w:history="1">
            <w:r w:rsidR="0040681E" w:rsidRPr="0089715E">
              <w:rPr>
                <w:rStyle w:val="Lienhypertexte"/>
                <w:noProof/>
              </w:rPr>
              <w:t>12.2.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Indisponibilité annoncée « IA »</w:t>
            </w:r>
            <w:r w:rsidR="0040681E">
              <w:rPr>
                <w:noProof/>
                <w:webHidden/>
              </w:rPr>
              <w:tab/>
            </w:r>
            <w:r w:rsidR="0040681E">
              <w:rPr>
                <w:noProof/>
                <w:webHidden/>
              </w:rPr>
              <w:fldChar w:fldCharType="begin"/>
            </w:r>
            <w:r w:rsidR="0040681E">
              <w:rPr>
                <w:noProof/>
                <w:webHidden/>
              </w:rPr>
              <w:instrText xml:space="preserve"> PAGEREF _Toc110436472 \h </w:instrText>
            </w:r>
            <w:r w:rsidR="0040681E">
              <w:rPr>
                <w:noProof/>
                <w:webHidden/>
              </w:rPr>
            </w:r>
            <w:r w:rsidR="0040681E">
              <w:rPr>
                <w:noProof/>
                <w:webHidden/>
              </w:rPr>
              <w:fldChar w:fldCharType="separate"/>
            </w:r>
            <w:r w:rsidR="0040681E">
              <w:rPr>
                <w:noProof/>
                <w:webHidden/>
              </w:rPr>
              <w:t>17</w:t>
            </w:r>
            <w:r w:rsidR="0040681E">
              <w:rPr>
                <w:noProof/>
                <w:webHidden/>
              </w:rPr>
              <w:fldChar w:fldCharType="end"/>
            </w:r>
          </w:hyperlink>
        </w:p>
        <w:p w14:paraId="67B1AC6E"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73" w:history="1">
            <w:r w:rsidR="0040681E" w:rsidRPr="0089715E">
              <w:rPr>
                <w:rStyle w:val="Lienhypertexte"/>
                <w:noProof/>
              </w:rPr>
              <w:t>12.3.</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Tenue en puissance spécifiée « TPS »</w:t>
            </w:r>
            <w:r w:rsidR="0040681E">
              <w:rPr>
                <w:noProof/>
                <w:webHidden/>
              </w:rPr>
              <w:tab/>
            </w:r>
            <w:r w:rsidR="0040681E">
              <w:rPr>
                <w:noProof/>
                <w:webHidden/>
              </w:rPr>
              <w:fldChar w:fldCharType="begin"/>
            </w:r>
            <w:r w:rsidR="0040681E">
              <w:rPr>
                <w:noProof/>
                <w:webHidden/>
              </w:rPr>
              <w:instrText xml:space="preserve"> PAGEREF _Toc110436473 \h </w:instrText>
            </w:r>
            <w:r w:rsidR="0040681E">
              <w:rPr>
                <w:noProof/>
                <w:webHidden/>
              </w:rPr>
            </w:r>
            <w:r w:rsidR="0040681E">
              <w:rPr>
                <w:noProof/>
                <w:webHidden/>
              </w:rPr>
              <w:fldChar w:fldCharType="separate"/>
            </w:r>
            <w:r w:rsidR="0040681E">
              <w:rPr>
                <w:noProof/>
                <w:webHidden/>
              </w:rPr>
              <w:t>18</w:t>
            </w:r>
            <w:r w:rsidR="0040681E">
              <w:rPr>
                <w:noProof/>
                <w:webHidden/>
              </w:rPr>
              <w:fldChar w:fldCharType="end"/>
            </w:r>
          </w:hyperlink>
        </w:p>
        <w:p w14:paraId="2630D327"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74" w:history="1">
            <w:r w:rsidR="0040681E" w:rsidRPr="0089715E">
              <w:rPr>
                <w:rStyle w:val="Lienhypertexte"/>
                <w:noProof/>
              </w:rPr>
              <w:t>12.4.</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déclenchement « KQ »</w:t>
            </w:r>
            <w:r w:rsidR="0040681E">
              <w:rPr>
                <w:noProof/>
                <w:webHidden/>
              </w:rPr>
              <w:tab/>
            </w:r>
            <w:r w:rsidR="0040681E">
              <w:rPr>
                <w:noProof/>
                <w:webHidden/>
              </w:rPr>
              <w:fldChar w:fldCharType="begin"/>
            </w:r>
            <w:r w:rsidR="0040681E">
              <w:rPr>
                <w:noProof/>
                <w:webHidden/>
              </w:rPr>
              <w:instrText xml:space="preserve"> PAGEREF _Toc110436474 \h </w:instrText>
            </w:r>
            <w:r w:rsidR="0040681E">
              <w:rPr>
                <w:noProof/>
                <w:webHidden/>
              </w:rPr>
            </w:r>
            <w:r w:rsidR="0040681E">
              <w:rPr>
                <w:noProof/>
                <w:webHidden/>
              </w:rPr>
              <w:fldChar w:fldCharType="separate"/>
            </w:r>
            <w:r w:rsidR="0040681E">
              <w:rPr>
                <w:noProof/>
                <w:webHidden/>
              </w:rPr>
              <w:t>19</w:t>
            </w:r>
            <w:r w:rsidR="0040681E">
              <w:rPr>
                <w:noProof/>
                <w:webHidden/>
              </w:rPr>
              <w:fldChar w:fldCharType="end"/>
            </w:r>
          </w:hyperlink>
        </w:p>
        <w:p w14:paraId="3A2134D1"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75" w:history="1">
            <w:r w:rsidR="0040681E" w:rsidRPr="0089715E">
              <w:rPr>
                <w:rStyle w:val="Lienhypertexte"/>
                <w:noProof/>
              </w:rPr>
              <w:t>12.5.</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Perte d’énergie excessive (« PEE »)</w:t>
            </w:r>
            <w:r w:rsidR="0040681E">
              <w:rPr>
                <w:noProof/>
                <w:webHidden/>
              </w:rPr>
              <w:tab/>
            </w:r>
            <w:r w:rsidR="0040681E">
              <w:rPr>
                <w:noProof/>
                <w:webHidden/>
              </w:rPr>
              <w:fldChar w:fldCharType="begin"/>
            </w:r>
            <w:r w:rsidR="0040681E">
              <w:rPr>
                <w:noProof/>
                <w:webHidden/>
              </w:rPr>
              <w:instrText xml:space="preserve"> PAGEREF _Toc110436475 \h </w:instrText>
            </w:r>
            <w:r w:rsidR="0040681E">
              <w:rPr>
                <w:noProof/>
                <w:webHidden/>
              </w:rPr>
            </w:r>
            <w:r w:rsidR="0040681E">
              <w:rPr>
                <w:noProof/>
                <w:webHidden/>
              </w:rPr>
              <w:fldChar w:fldCharType="separate"/>
            </w:r>
            <w:r w:rsidR="0040681E">
              <w:rPr>
                <w:noProof/>
                <w:webHidden/>
              </w:rPr>
              <w:t>19</w:t>
            </w:r>
            <w:r w:rsidR="0040681E">
              <w:rPr>
                <w:noProof/>
                <w:webHidden/>
              </w:rPr>
              <w:fldChar w:fldCharType="end"/>
            </w:r>
          </w:hyperlink>
        </w:p>
        <w:p w14:paraId="26F411DD"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76" w:history="1">
            <w:r w:rsidR="0040681E" w:rsidRPr="0089715E">
              <w:rPr>
                <w:rStyle w:val="Lienhypertexte"/>
                <w:noProof/>
              </w:rPr>
              <w:t>12.6.</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Temps de Réponse excédant le Plafond contractuel « TRP »</w:t>
            </w:r>
            <w:r w:rsidR="0040681E">
              <w:rPr>
                <w:noProof/>
                <w:webHidden/>
              </w:rPr>
              <w:tab/>
            </w:r>
            <w:r w:rsidR="0040681E">
              <w:rPr>
                <w:noProof/>
                <w:webHidden/>
              </w:rPr>
              <w:fldChar w:fldCharType="begin"/>
            </w:r>
            <w:r w:rsidR="0040681E">
              <w:rPr>
                <w:noProof/>
                <w:webHidden/>
              </w:rPr>
              <w:instrText xml:space="preserve"> PAGEREF _Toc110436476 \h </w:instrText>
            </w:r>
            <w:r w:rsidR="0040681E">
              <w:rPr>
                <w:noProof/>
                <w:webHidden/>
              </w:rPr>
            </w:r>
            <w:r w:rsidR="0040681E">
              <w:rPr>
                <w:noProof/>
                <w:webHidden/>
              </w:rPr>
              <w:fldChar w:fldCharType="separate"/>
            </w:r>
            <w:r w:rsidR="0040681E">
              <w:rPr>
                <w:noProof/>
                <w:webHidden/>
              </w:rPr>
              <w:t>19</w:t>
            </w:r>
            <w:r w:rsidR="0040681E">
              <w:rPr>
                <w:noProof/>
                <w:webHidden/>
              </w:rPr>
              <w:fldChar w:fldCharType="end"/>
            </w:r>
          </w:hyperlink>
        </w:p>
        <w:p w14:paraId="7C5E2040"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77" w:history="1">
            <w:r w:rsidR="0040681E" w:rsidRPr="0089715E">
              <w:rPr>
                <w:rStyle w:val="Lienhypertexte"/>
                <w:noProof/>
              </w:rPr>
              <w:t>12.7.</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Echec du renvoi de tension (« ERT »)</w:t>
            </w:r>
            <w:r w:rsidR="0040681E">
              <w:rPr>
                <w:noProof/>
                <w:webHidden/>
              </w:rPr>
              <w:tab/>
            </w:r>
            <w:r w:rsidR="0040681E">
              <w:rPr>
                <w:noProof/>
                <w:webHidden/>
              </w:rPr>
              <w:fldChar w:fldCharType="begin"/>
            </w:r>
            <w:r w:rsidR="0040681E">
              <w:rPr>
                <w:noProof/>
                <w:webHidden/>
              </w:rPr>
              <w:instrText xml:space="preserve"> PAGEREF _Toc110436477 \h </w:instrText>
            </w:r>
            <w:r w:rsidR="0040681E">
              <w:rPr>
                <w:noProof/>
                <w:webHidden/>
              </w:rPr>
            </w:r>
            <w:r w:rsidR="0040681E">
              <w:rPr>
                <w:noProof/>
                <w:webHidden/>
              </w:rPr>
              <w:fldChar w:fldCharType="separate"/>
            </w:r>
            <w:r w:rsidR="0040681E">
              <w:rPr>
                <w:noProof/>
                <w:webHidden/>
              </w:rPr>
              <w:t>20</w:t>
            </w:r>
            <w:r w:rsidR="0040681E">
              <w:rPr>
                <w:noProof/>
                <w:webHidden/>
              </w:rPr>
              <w:fldChar w:fldCharType="end"/>
            </w:r>
          </w:hyperlink>
        </w:p>
        <w:p w14:paraId="420836B4"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78" w:history="1">
            <w:r w:rsidR="0040681E" w:rsidRPr="0089715E">
              <w:rPr>
                <w:rStyle w:val="Lienhypertexte"/>
                <w:noProof/>
              </w:rPr>
              <w:t>13. Prime de coûts variables</w:t>
            </w:r>
            <w:r w:rsidR="0040681E">
              <w:rPr>
                <w:noProof/>
                <w:webHidden/>
              </w:rPr>
              <w:tab/>
            </w:r>
            <w:r w:rsidR="0040681E">
              <w:rPr>
                <w:noProof/>
                <w:webHidden/>
              </w:rPr>
              <w:fldChar w:fldCharType="begin"/>
            </w:r>
            <w:r w:rsidR="0040681E">
              <w:rPr>
                <w:noProof/>
                <w:webHidden/>
              </w:rPr>
              <w:instrText xml:space="preserve"> PAGEREF _Toc110436478 \h </w:instrText>
            </w:r>
            <w:r w:rsidR="0040681E">
              <w:rPr>
                <w:noProof/>
                <w:webHidden/>
              </w:rPr>
            </w:r>
            <w:r w:rsidR="0040681E">
              <w:rPr>
                <w:noProof/>
                <w:webHidden/>
              </w:rPr>
              <w:fldChar w:fldCharType="separate"/>
            </w:r>
            <w:r w:rsidR="0040681E">
              <w:rPr>
                <w:noProof/>
                <w:webHidden/>
              </w:rPr>
              <w:t>20</w:t>
            </w:r>
            <w:r w:rsidR="0040681E">
              <w:rPr>
                <w:noProof/>
                <w:webHidden/>
              </w:rPr>
              <w:fldChar w:fldCharType="end"/>
            </w:r>
          </w:hyperlink>
        </w:p>
        <w:p w14:paraId="5027702E"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79" w:history="1">
            <w:r w:rsidR="0040681E" w:rsidRPr="0089715E">
              <w:rPr>
                <w:rStyle w:val="Lienhypertexte"/>
                <w:noProof/>
              </w:rPr>
              <w:t>13.1.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Indexation de la Prime de coûts variables</w:t>
            </w:r>
            <w:r w:rsidR="0040681E">
              <w:rPr>
                <w:noProof/>
                <w:webHidden/>
              </w:rPr>
              <w:tab/>
            </w:r>
            <w:r w:rsidR="0040681E">
              <w:rPr>
                <w:noProof/>
                <w:webHidden/>
              </w:rPr>
              <w:fldChar w:fldCharType="begin"/>
            </w:r>
            <w:r w:rsidR="0040681E">
              <w:rPr>
                <w:noProof/>
                <w:webHidden/>
              </w:rPr>
              <w:instrText xml:space="preserve"> PAGEREF _Toc110436479 \h </w:instrText>
            </w:r>
            <w:r w:rsidR="0040681E">
              <w:rPr>
                <w:noProof/>
                <w:webHidden/>
              </w:rPr>
            </w:r>
            <w:r w:rsidR="0040681E">
              <w:rPr>
                <w:noProof/>
                <w:webHidden/>
              </w:rPr>
              <w:fldChar w:fldCharType="separate"/>
            </w:r>
            <w:r w:rsidR="0040681E">
              <w:rPr>
                <w:noProof/>
                <w:webHidden/>
              </w:rPr>
              <w:t>21</w:t>
            </w:r>
            <w:r w:rsidR="0040681E">
              <w:rPr>
                <w:noProof/>
                <w:webHidden/>
              </w:rPr>
              <w:fldChar w:fldCharType="end"/>
            </w:r>
          </w:hyperlink>
        </w:p>
        <w:p w14:paraId="140777EB" w14:textId="77777777" w:rsidR="0040681E" w:rsidRDefault="00A775B6">
          <w:pPr>
            <w:pStyle w:val="TM3"/>
            <w:rPr>
              <w:rFonts w:asciiTheme="minorHAnsi" w:eastAsiaTheme="minorEastAsia" w:hAnsiTheme="minorHAnsi" w:cstheme="minorBidi"/>
              <w:color w:val="auto"/>
              <w:szCs w:val="22"/>
              <w:lang w:eastAsia="fr-FR"/>
            </w:rPr>
          </w:pPr>
          <w:hyperlink w:anchor="_Toc110436480" w:history="1">
            <w:r w:rsidR="0040681E" w:rsidRPr="0089715E">
              <w:rPr>
                <w:rStyle w:val="Lienhypertexte"/>
              </w:rPr>
              <w:t>13.1.1. Formule d’indexation de la Prime de Coûts Variables</w:t>
            </w:r>
            <w:r w:rsidR="0040681E">
              <w:rPr>
                <w:webHidden/>
              </w:rPr>
              <w:tab/>
            </w:r>
            <w:r w:rsidR="0040681E">
              <w:rPr>
                <w:webHidden/>
              </w:rPr>
              <w:fldChar w:fldCharType="begin"/>
            </w:r>
            <w:r w:rsidR="0040681E">
              <w:rPr>
                <w:webHidden/>
              </w:rPr>
              <w:instrText xml:space="preserve"> PAGEREF _Toc110436480 \h </w:instrText>
            </w:r>
            <w:r w:rsidR="0040681E">
              <w:rPr>
                <w:webHidden/>
              </w:rPr>
            </w:r>
            <w:r w:rsidR="0040681E">
              <w:rPr>
                <w:webHidden/>
              </w:rPr>
              <w:fldChar w:fldCharType="separate"/>
            </w:r>
            <w:r w:rsidR="0040681E">
              <w:rPr>
                <w:webHidden/>
              </w:rPr>
              <w:t>21</w:t>
            </w:r>
            <w:r w:rsidR="0040681E">
              <w:rPr>
                <w:webHidden/>
              </w:rPr>
              <w:fldChar w:fldCharType="end"/>
            </w:r>
          </w:hyperlink>
        </w:p>
        <w:p w14:paraId="7D9038BA" w14:textId="77777777" w:rsidR="0040681E" w:rsidRDefault="00A775B6">
          <w:pPr>
            <w:pStyle w:val="TM3"/>
            <w:rPr>
              <w:rFonts w:asciiTheme="minorHAnsi" w:eastAsiaTheme="minorEastAsia" w:hAnsiTheme="minorHAnsi" w:cstheme="minorBidi"/>
              <w:color w:val="auto"/>
              <w:szCs w:val="22"/>
              <w:lang w:eastAsia="fr-FR"/>
            </w:rPr>
          </w:pPr>
          <w:hyperlink w:anchor="_Toc110436481" w:history="1">
            <w:r w:rsidR="0040681E" w:rsidRPr="0089715E">
              <w:rPr>
                <w:rStyle w:val="Lienhypertexte"/>
              </w:rPr>
              <w:t>13.1.1. Modification des indices utilisés pour l’indexation de la Prime de Coûts Variables</w:t>
            </w:r>
            <w:r w:rsidR="0040681E">
              <w:rPr>
                <w:webHidden/>
              </w:rPr>
              <w:tab/>
            </w:r>
            <w:r w:rsidR="0040681E">
              <w:rPr>
                <w:webHidden/>
              </w:rPr>
              <w:fldChar w:fldCharType="begin"/>
            </w:r>
            <w:r w:rsidR="0040681E">
              <w:rPr>
                <w:webHidden/>
              </w:rPr>
              <w:instrText xml:space="preserve"> PAGEREF _Toc110436481 \h </w:instrText>
            </w:r>
            <w:r w:rsidR="0040681E">
              <w:rPr>
                <w:webHidden/>
              </w:rPr>
            </w:r>
            <w:r w:rsidR="0040681E">
              <w:rPr>
                <w:webHidden/>
              </w:rPr>
              <w:fldChar w:fldCharType="separate"/>
            </w:r>
            <w:r w:rsidR="0040681E">
              <w:rPr>
                <w:webHidden/>
              </w:rPr>
              <w:t>21</w:t>
            </w:r>
            <w:r w:rsidR="0040681E">
              <w:rPr>
                <w:webHidden/>
              </w:rPr>
              <w:fldChar w:fldCharType="end"/>
            </w:r>
          </w:hyperlink>
        </w:p>
        <w:p w14:paraId="20DD26EA"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82" w:history="1">
            <w:r w:rsidR="0040681E" w:rsidRPr="0089715E">
              <w:rPr>
                <w:rStyle w:val="Lienhypertexte"/>
                <w:noProof/>
              </w:rPr>
              <w:t>14. Déplacement des arrêts programmés</w:t>
            </w:r>
            <w:r w:rsidR="0040681E">
              <w:rPr>
                <w:noProof/>
                <w:webHidden/>
              </w:rPr>
              <w:tab/>
            </w:r>
            <w:r w:rsidR="0040681E">
              <w:rPr>
                <w:noProof/>
                <w:webHidden/>
              </w:rPr>
              <w:fldChar w:fldCharType="begin"/>
            </w:r>
            <w:r w:rsidR="0040681E">
              <w:rPr>
                <w:noProof/>
                <w:webHidden/>
              </w:rPr>
              <w:instrText xml:space="preserve"> PAGEREF _Toc110436482 \h </w:instrText>
            </w:r>
            <w:r w:rsidR="0040681E">
              <w:rPr>
                <w:noProof/>
                <w:webHidden/>
              </w:rPr>
            </w:r>
            <w:r w:rsidR="0040681E">
              <w:rPr>
                <w:noProof/>
                <w:webHidden/>
              </w:rPr>
              <w:fldChar w:fldCharType="separate"/>
            </w:r>
            <w:r w:rsidR="0040681E">
              <w:rPr>
                <w:noProof/>
                <w:webHidden/>
              </w:rPr>
              <w:t>21</w:t>
            </w:r>
            <w:r w:rsidR="0040681E">
              <w:rPr>
                <w:noProof/>
                <w:webHidden/>
              </w:rPr>
              <w:fldChar w:fldCharType="end"/>
            </w:r>
          </w:hyperlink>
        </w:p>
        <w:p w14:paraId="5F2AB5B3"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83" w:history="1">
            <w:r w:rsidR="0040681E" w:rsidRPr="0089715E">
              <w:rPr>
                <w:rStyle w:val="Lienhypertexte"/>
                <w:noProof/>
              </w:rPr>
              <w:t>14.1.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Déplacement des arrêts programmés à la demande du Stockeur, dans les 30 jours</w:t>
            </w:r>
            <w:r w:rsidR="0040681E">
              <w:rPr>
                <w:noProof/>
                <w:webHidden/>
              </w:rPr>
              <w:tab/>
            </w:r>
            <w:r w:rsidR="0040681E">
              <w:rPr>
                <w:noProof/>
                <w:webHidden/>
              </w:rPr>
              <w:fldChar w:fldCharType="begin"/>
            </w:r>
            <w:r w:rsidR="0040681E">
              <w:rPr>
                <w:noProof/>
                <w:webHidden/>
              </w:rPr>
              <w:instrText xml:space="preserve"> PAGEREF _Toc110436483 \h </w:instrText>
            </w:r>
            <w:r w:rsidR="0040681E">
              <w:rPr>
                <w:noProof/>
                <w:webHidden/>
              </w:rPr>
            </w:r>
            <w:r w:rsidR="0040681E">
              <w:rPr>
                <w:noProof/>
                <w:webHidden/>
              </w:rPr>
              <w:fldChar w:fldCharType="separate"/>
            </w:r>
            <w:r w:rsidR="0040681E">
              <w:rPr>
                <w:noProof/>
                <w:webHidden/>
              </w:rPr>
              <w:t>22</w:t>
            </w:r>
            <w:r w:rsidR="0040681E">
              <w:rPr>
                <w:noProof/>
                <w:webHidden/>
              </w:rPr>
              <w:fldChar w:fldCharType="end"/>
            </w:r>
          </w:hyperlink>
        </w:p>
        <w:p w14:paraId="048973F1"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84" w:history="1">
            <w:r w:rsidR="0040681E" w:rsidRPr="0089715E">
              <w:rPr>
                <w:rStyle w:val="Lienhypertexte"/>
                <w:noProof/>
              </w:rPr>
              <w:t>14.2.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Déplacement à la demande du GRT, dans les 30 jours</w:t>
            </w:r>
            <w:r w:rsidR="0040681E">
              <w:rPr>
                <w:noProof/>
                <w:webHidden/>
              </w:rPr>
              <w:tab/>
            </w:r>
            <w:r w:rsidR="0040681E">
              <w:rPr>
                <w:noProof/>
                <w:webHidden/>
              </w:rPr>
              <w:fldChar w:fldCharType="begin"/>
            </w:r>
            <w:r w:rsidR="0040681E">
              <w:rPr>
                <w:noProof/>
                <w:webHidden/>
              </w:rPr>
              <w:instrText xml:space="preserve"> PAGEREF _Toc110436484 \h </w:instrText>
            </w:r>
            <w:r w:rsidR="0040681E">
              <w:rPr>
                <w:noProof/>
                <w:webHidden/>
              </w:rPr>
            </w:r>
            <w:r w:rsidR="0040681E">
              <w:rPr>
                <w:noProof/>
                <w:webHidden/>
              </w:rPr>
              <w:fldChar w:fldCharType="separate"/>
            </w:r>
            <w:r w:rsidR="0040681E">
              <w:rPr>
                <w:noProof/>
                <w:webHidden/>
              </w:rPr>
              <w:t>22</w:t>
            </w:r>
            <w:r w:rsidR="0040681E">
              <w:rPr>
                <w:noProof/>
                <w:webHidden/>
              </w:rPr>
              <w:fldChar w:fldCharType="end"/>
            </w:r>
          </w:hyperlink>
        </w:p>
        <w:p w14:paraId="283184D9"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85" w:history="1">
            <w:r w:rsidR="0040681E" w:rsidRPr="0089715E">
              <w:rPr>
                <w:rStyle w:val="Lienhypertexte"/>
                <w:noProof/>
              </w:rPr>
              <w:t>15. Disponibilité anticipée</w:t>
            </w:r>
            <w:r w:rsidR="0040681E">
              <w:rPr>
                <w:noProof/>
                <w:webHidden/>
              </w:rPr>
              <w:tab/>
            </w:r>
            <w:r w:rsidR="0040681E">
              <w:rPr>
                <w:noProof/>
                <w:webHidden/>
              </w:rPr>
              <w:fldChar w:fldCharType="begin"/>
            </w:r>
            <w:r w:rsidR="0040681E">
              <w:rPr>
                <w:noProof/>
                <w:webHidden/>
              </w:rPr>
              <w:instrText xml:space="preserve"> PAGEREF _Toc110436485 \h </w:instrText>
            </w:r>
            <w:r w:rsidR="0040681E">
              <w:rPr>
                <w:noProof/>
                <w:webHidden/>
              </w:rPr>
            </w:r>
            <w:r w:rsidR="0040681E">
              <w:rPr>
                <w:noProof/>
                <w:webHidden/>
              </w:rPr>
              <w:fldChar w:fldCharType="separate"/>
            </w:r>
            <w:r w:rsidR="0040681E">
              <w:rPr>
                <w:noProof/>
                <w:webHidden/>
              </w:rPr>
              <w:t>22</w:t>
            </w:r>
            <w:r w:rsidR="0040681E">
              <w:rPr>
                <w:noProof/>
                <w:webHidden/>
              </w:rPr>
              <w:fldChar w:fldCharType="end"/>
            </w:r>
          </w:hyperlink>
        </w:p>
        <w:p w14:paraId="0EC23753"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86" w:history="1">
            <w:r w:rsidR="0040681E" w:rsidRPr="0089715E">
              <w:rPr>
                <w:rStyle w:val="Lienhypertexte"/>
                <w:noProof/>
              </w:rPr>
              <w:t>15.1.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Arrêt programmé dans le planning annuel de disponibilité</w:t>
            </w:r>
            <w:r w:rsidR="0040681E">
              <w:rPr>
                <w:noProof/>
                <w:webHidden/>
              </w:rPr>
              <w:tab/>
            </w:r>
            <w:r w:rsidR="0040681E">
              <w:rPr>
                <w:noProof/>
                <w:webHidden/>
              </w:rPr>
              <w:fldChar w:fldCharType="begin"/>
            </w:r>
            <w:r w:rsidR="0040681E">
              <w:rPr>
                <w:noProof/>
                <w:webHidden/>
              </w:rPr>
              <w:instrText xml:space="preserve"> PAGEREF _Toc110436486 \h </w:instrText>
            </w:r>
            <w:r w:rsidR="0040681E">
              <w:rPr>
                <w:noProof/>
                <w:webHidden/>
              </w:rPr>
            </w:r>
            <w:r w:rsidR="0040681E">
              <w:rPr>
                <w:noProof/>
                <w:webHidden/>
              </w:rPr>
              <w:fldChar w:fldCharType="separate"/>
            </w:r>
            <w:r w:rsidR="0040681E">
              <w:rPr>
                <w:noProof/>
                <w:webHidden/>
              </w:rPr>
              <w:t>22</w:t>
            </w:r>
            <w:r w:rsidR="0040681E">
              <w:rPr>
                <w:noProof/>
                <w:webHidden/>
              </w:rPr>
              <w:fldChar w:fldCharType="end"/>
            </w:r>
          </w:hyperlink>
        </w:p>
        <w:p w14:paraId="4BD1315C"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87" w:history="1">
            <w:r w:rsidR="0040681E" w:rsidRPr="0089715E">
              <w:rPr>
                <w:rStyle w:val="Lienhypertexte"/>
                <w:noProof/>
              </w:rPr>
              <w:t>15.2.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Arrêt programmé dans le planning hebdomadaire de disponibilité</w:t>
            </w:r>
            <w:r w:rsidR="0040681E">
              <w:rPr>
                <w:noProof/>
                <w:webHidden/>
              </w:rPr>
              <w:tab/>
            </w:r>
            <w:r w:rsidR="0040681E">
              <w:rPr>
                <w:noProof/>
                <w:webHidden/>
              </w:rPr>
              <w:fldChar w:fldCharType="begin"/>
            </w:r>
            <w:r w:rsidR="0040681E">
              <w:rPr>
                <w:noProof/>
                <w:webHidden/>
              </w:rPr>
              <w:instrText xml:space="preserve"> PAGEREF _Toc110436487 \h </w:instrText>
            </w:r>
            <w:r w:rsidR="0040681E">
              <w:rPr>
                <w:noProof/>
                <w:webHidden/>
              </w:rPr>
            </w:r>
            <w:r w:rsidR="0040681E">
              <w:rPr>
                <w:noProof/>
                <w:webHidden/>
              </w:rPr>
              <w:fldChar w:fldCharType="separate"/>
            </w:r>
            <w:r w:rsidR="0040681E">
              <w:rPr>
                <w:noProof/>
                <w:webHidden/>
              </w:rPr>
              <w:t>23</w:t>
            </w:r>
            <w:r w:rsidR="0040681E">
              <w:rPr>
                <w:noProof/>
                <w:webHidden/>
              </w:rPr>
              <w:fldChar w:fldCharType="end"/>
            </w:r>
          </w:hyperlink>
        </w:p>
        <w:p w14:paraId="335F77D4"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88" w:history="1">
            <w:r w:rsidR="0040681E" w:rsidRPr="0089715E">
              <w:rPr>
                <w:rStyle w:val="Lienhypertexte"/>
                <w:noProof/>
              </w:rPr>
              <w:t>16. Modalité de facturation et de paiement / Audits des charges d’exploitation</w:t>
            </w:r>
            <w:r w:rsidR="0040681E">
              <w:rPr>
                <w:noProof/>
                <w:webHidden/>
              </w:rPr>
              <w:tab/>
            </w:r>
            <w:r w:rsidR="0040681E">
              <w:rPr>
                <w:noProof/>
                <w:webHidden/>
              </w:rPr>
              <w:fldChar w:fldCharType="begin"/>
            </w:r>
            <w:r w:rsidR="0040681E">
              <w:rPr>
                <w:noProof/>
                <w:webHidden/>
              </w:rPr>
              <w:instrText xml:space="preserve"> PAGEREF _Toc110436488 \h </w:instrText>
            </w:r>
            <w:r w:rsidR="0040681E">
              <w:rPr>
                <w:noProof/>
                <w:webHidden/>
              </w:rPr>
            </w:r>
            <w:r w:rsidR="0040681E">
              <w:rPr>
                <w:noProof/>
                <w:webHidden/>
              </w:rPr>
              <w:fldChar w:fldCharType="separate"/>
            </w:r>
            <w:r w:rsidR="0040681E">
              <w:rPr>
                <w:noProof/>
                <w:webHidden/>
              </w:rPr>
              <w:t>23</w:t>
            </w:r>
            <w:r w:rsidR="0040681E">
              <w:rPr>
                <w:noProof/>
                <w:webHidden/>
              </w:rPr>
              <w:fldChar w:fldCharType="end"/>
            </w:r>
          </w:hyperlink>
        </w:p>
        <w:p w14:paraId="7084DEF2"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89" w:history="1">
            <w:r w:rsidR="0040681E" w:rsidRPr="0089715E">
              <w:rPr>
                <w:rStyle w:val="Lienhypertexte"/>
                <w:noProof/>
              </w:rPr>
              <w:t>16.1.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modalites de facturation et de paiement</w:t>
            </w:r>
            <w:r w:rsidR="0040681E">
              <w:rPr>
                <w:noProof/>
                <w:webHidden/>
              </w:rPr>
              <w:tab/>
            </w:r>
            <w:r w:rsidR="0040681E">
              <w:rPr>
                <w:noProof/>
                <w:webHidden/>
              </w:rPr>
              <w:fldChar w:fldCharType="begin"/>
            </w:r>
            <w:r w:rsidR="0040681E">
              <w:rPr>
                <w:noProof/>
                <w:webHidden/>
              </w:rPr>
              <w:instrText xml:space="preserve"> PAGEREF _Toc110436489 \h </w:instrText>
            </w:r>
            <w:r w:rsidR="0040681E">
              <w:rPr>
                <w:noProof/>
                <w:webHidden/>
              </w:rPr>
            </w:r>
            <w:r w:rsidR="0040681E">
              <w:rPr>
                <w:noProof/>
                <w:webHidden/>
              </w:rPr>
              <w:fldChar w:fldCharType="separate"/>
            </w:r>
            <w:r w:rsidR="0040681E">
              <w:rPr>
                <w:noProof/>
                <w:webHidden/>
              </w:rPr>
              <w:t>23</w:t>
            </w:r>
            <w:r w:rsidR="0040681E">
              <w:rPr>
                <w:noProof/>
                <w:webHidden/>
              </w:rPr>
              <w:fldChar w:fldCharType="end"/>
            </w:r>
          </w:hyperlink>
        </w:p>
        <w:p w14:paraId="3469EF70"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90" w:history="1">
            <w:r w:rsidR="0040681E" w:rsidRPr="0089715E">
              <w:rPr>
                <w:rStyle w:val="Lienhypertexte"/>
                <w:noProof/>
              </w:rPr>
              <w:t>16.2.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Audit des charges d’exploitation</w:t>
            </w:r>
            <w:r w:rsidR="0040681E">
              <w:rPr>
                <w:noProof/>
                <w:webHidden/>
              </w:rPr>
              <w:tab/>
            </w:r>
            <w:r w:rsidR="0040681E">
              <w:rPr>
                <w:noProof/>
                <w:webHidden/>
              </w:rPr>
              <w:fldChar w:fldCharType="begin"/>
            </w:r>
            <w:r w:rsidR="0040681E">
              <w:rPr>
                <w:noProof/>
                <w:webHidden/>
              </w:rPr>
              <w:instrText xml:space="preserve"> PAGEREF _Toc110436490 \h </w:instrText>
            </w:r>
            <w:r w:rsidR="0040681E">
              <w:rPr>
                <w:noProof/>
                <w:webHidden/>
              </w:rPr>
            </w:r>
            <w:r w:rsidR="0040681E">
              <w:rPr>
                <w:noProof/>
                <w:webHidden/>
              </w:rPr>
              <w:fldChar w:fldCharType="separate"/>
            </w:r>
            <w:r w:rsidR="0040681E">
              <w:rPr>
                <w:noProof/>
                <w:webHidden/>
              </w:rPr>
              <w:t>24</w:t>
            </w:r>
            <w:r w:rsidR="0040681E">
              <w:rPr>
                <w:noProof/>
                <w:webHidden/>
              </w:rPr>
              <w:fldChar w:fldCharType="end"/>
            </w:r>
          </w:hyperlink>
        </w:p>
        <w:p w14:paraId="5F136963"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91" w:history="1">
            <w:r w:rsidR="0040681E" w:rsidRPr="0089715E">
              <w:rPr>
                <w:rStyle w:val="Lienhypertexte"/>
                <w:noProof/>
              </w:rPr>
              <w:t>17. Impôts et taxes</w:t>
            </w:r>
            <w:r w:rsidR="0040681E">
              <w:rPr>
                <w:noProof/>
                <w:webHidden/>
              </w:rPr>
              <w:tab/>
            </w:r>
            <w:r w:rsidR="0040681E">
              <w:rPr>
                <w:noProof/>
                <w:webHidden/>
              </w:rPr>
              <w:fldChar w:fldCharType="begin"/>
            </w:r>
            <w:r w:rsidR="0040681E">
              <w:rPr>
                <w:noProof/>
                <w:webHidden/>
              </w:rPr>
              <w:instrText xml:space="preserve"> PAGEREF _Toc110436491 \h </w:instrText>
            </w:r>
            <w:r w:rsidR="0040681E">
              <w:rPr>
                <w:noProof/>
                <w:webHidden/>
              </w:rPr>
            </w:r>
            <w:r w:rsidR="0040681E">
              <w:rPr>
                <w:noProof/>
                <w:webHidden/>
              </w:rPr>
              <w:fldChar w:fldCharType="separate"/>
            </w:r>
            <w:r w:rsidR="0040681E">
              <w:rPr>
                <w:noProof/>
                <w:webHidden/>
              </w:rPr>
              <w:t>25</w:t>
            </w:r>
            <w:r w:rsidR="0040681E">
              <w:rPr>
                <w:noProof/>
                <w:webHidden/>
              </w:rPr>
              <w:fldChar w:fldCharType="end"/>
            </w:r>
          </w:hyperlink>
        </w:p>
        <w:p w14:paraId="06BEE2AB"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92" w:history="1">
            <w:r w:rsidR="0040681E" w:rsidRPr="0089715E">
              <w:rPr>
                <w:rStyle w:val="Lienhypertexte"/>
                <w:noProof/>
              </w:rPr>
              <w:t>18. Perturbations dans la fourniture des services</w:t>
            </w:r>
            <w:r w:rsidR="0040681E">
              <w:rPr>
                <w:noProof/>
                <w:webHidden/>
              </w:rPr>
              <w:tab/>
            </w:r>
            <w:r w:rsidR="0040681E">
              <w:rPr>
                <w:noProof/>
                <w:webHidden/>
              </w:rPr>
              <w:fldChar w:fldCharType="begin"/>
            </w:r>
            <w:r w:rsidR="0040681E">
              <w:rPr>
                <w:noProof/>
                <w:webHidden/>
              </w:rPr>
              <w:instrText xml:space="preserve"> PAGEREF _Toc110436492 \h </w:instrText>
            </w:r>
            <w:r w:rsidR="0040681E">
              <w:rPr>
                <w:noProof/>
                <w:webHidden/>
              </w:rPr>
            </w:r>
            <w:r w:rsidR="0040681E">
              <w:rPr>
                <w:noProof/>
                <w:webHidden/>
              </w:rPr>
              <w:fldChar w:fldCharType="separate"/>
            </w:r>
            <w:r w:rsidR="0040681E">
              <w:rPr>
                <w:noProof/>
                <w:webHidden/>
              </w:rPr>
              <w:t>25</w:t>
            </w:r>
            <w:r w:rsidR="0040681E">
              <w:rPr>
                <w:noProof/>
                <w:webHidden/>
              </w:rPr>
              <w:fldChar w:fldCharType="end"/>
            </w:r>
          </w:hyperlink>
        </w:p>
        <w:p w14:paraId="640A7C95"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93" w:history="1">
            <w:r w:rsidR="0040681E" w:rsidRPr="0089715E">
              <w:rPr>
                <w:rStyle w:val="Lienhypertexte"/>
                <w:noProof/>
              </w:rPr>
              <w:t>19. Mise en service industrielle</w:t>
            </w:r>
            <w:r w:rsidR="0040681E">
              <w:rPr>
                <w:noProof/>
                <w:webHidden/>
              </w:rPr>
              <w:tab/>
            </w:r>
            <w:r w:rsidR="0040681E">
              <w:rPr>
                <w:noProof/>
                <w:webHidden/>
              </w:rPr>
              <w:fldChar w:fldCharType="begin"/>
            </w:r>
            <w:r w:rsidR="0040681E">
              <w:rPr>
                <w:noProof/>
                <w:webHidden/>
              </w:rPr>
              <w:instrText xml:space="preserve"> PAGEREF _Toc110436493 \h </w:instrText>
            </w:r>
            <w:r w:rsidR="0040681E">
              <w:rPr>
                <w:noProof/>
                <w:webHidden/>
              </w:rPr>
            </w:r>
            <w:r w:rsidR="0040681E">
              <w:rPr>
                <w:noProof/>
                <w:webHidden/>
              </w:rPr>
              <w:fldChar w:fldCharType="separate"/>
            </w:r>
            <w:r w:rsidR="0040681E">
              <w:rPr>
                <w:noProof/>
                <w:webHidden/>
              </w:rPr>
              <w:t>25</w:t>
            </w:r>
            <w:r w:rsidR="0040681E">
              <w:rPr>
                <w:noProof/>
                <w:webHidden/>
              </w:rPr>
              <w:fldChar w:fldCharType="end"/>
            </w:r>
          </w:hyperlink>
        </w:p>
        <w:p w14:paraId="015A3E65"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94" w:history="1">
            <w:r w:rsidR="0040681E" w:rsidRPr="0089715E">
              <w:rPr>
                <w:rStyle w:val="Lienhypertexte"/>
                <w:noProof/>
              </w:rPr>
              <w:t>19.1.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Information du GRT par le Stockeur jusqu'à la mise en service industrielle</w:t>
            </w:r>
            <w:r w:rsidR="0040681E">
              <w:rPr>
                <w:noProof/>
                <w:webHidden/>
              </w:rPr>
              <w:tab/>
            </w:r>
            <w:r w:rsidR="0040681E">
              <w:rPr>
                <w:noProof/>
                <w:webHidden/>
              </w:rPr>
              <w:fldChar w:fldCharType="begin"/>
            </w:r>
            <w:r w:rsidR="0040681E">
              <w:rPr>
                <w:noProof/>
                <w:webHidden/>
              </w:rPr>
              <w:instrText xml:space="preserve"> PAGEREF _Toc110436494 \h </w:instrText>
            </w:r>
            <w:r w:rsidR="0040681E">
              <w:rPr>
                <w:noProof/>
                <w:webHidden/>
              </w:rPr>
            </w:r>
            <w:r w:rsidR="0040681E">
              <w:rPr>
                <w:noProof/>
                <w:webHidden/>
              </w:rPr>
              <w:fldChar w:fldCharType="separate"/>
            </w:r>
            <w:r w:rsidR="0040681E">
              <w:rPr>
                <w:noProof/>
                <w:webHidden/>
              </w:rPr>
              <w:t>25</w:t>
            </w:r>
            <w:r w:rsidR="0040681E">
              <w:rPr>
                <w:noProof/>
                <w:webHidden/>
              </w:rPr>
              <w:fldChar w:fldCharType="end"/>
            </w:r>
          </w:hyperlink>
        </w:p>
        <w:p w14:paraId="7E184922"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95" w:history="1">
            <w:r w:rsidR="0040681E" w:rsidRPr="0089715E">
              <w:rPr>
                <w:rStyle w:val="Lienhypertexte"/>
                <w:noProof/>
              </w:rPr>
              <w:t>19.2.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Mise en service industrielle</w:t>
            </w:r>
            <w:r w:rsidR="0040681E">
              <w:rPr>
                <w:noProof/>
                <w:webHidden/>
              </w:rPr>
              <w:tab/>
            </w:r>
            <w:r w:rsidR="0040681E">
              <w:rPr>
                <w:noProof/>
                <w:webHidden/>
              </w:rPr>
              <w:fldChar w:fldCharType="begin"/>
            </w:r>
            <w:r w:rsidR="0040681E">
              <w:rPr>
                <w:noProof/>
                <w:webHidden/>
              </w:rPr>
              <w:instrText xml:space="preserve"> PAGEREF _Toc110436495 \h </w:instrText>
            </w:r>
            <w:r w:rsidR="0040681E">
              <w:rPr>
                <w:noProof/>
                <w:webHidden/>
              </w:rPr>
            </w:r>
            <w:r w:rsidR="0040681E">
              <w:rPr>
                <w:noProof/>
                <w:webHidden/>
              </w:rPr>
              <w:fldChar w:fldCharType="separate"/>
            </w:r>
            <w:r w:rsidR="0040681E">
              <w:rPr>
                <w:noProof/>
                <w:webHidden/>
              </w:rPr>
              <w:t>26</w:t>
            </w:r>
            <w:r w:rsidR="0040681E">
              <w:rPr>
                <w:noProof/>
                <w:webHidden/>
              </w:rPr>
              <w:fldChar w:fldCharType="end"/>
            </w:r>
          </w:hyperlink>
        </w:p>
        <w:p w14:paraId="04BA9026"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496" w:history="1">
            <w:r w:rsidR="0040681E" w:rsidRPr="0089715E">
              <w:rPr>
                <w:rStyle w:val="Lienhypertexte"/>
                <w:noProof/>
              </w:rPr>
              <w:t>20. Essais</w:t>
            </w:r>
            <w:r w:rsidR="0040681E">
              <w:rPr>
                <w:noProof/>
                <w:webHidden/>
              </w:rPr>
              <w:tab/>
            </w:r>
            <w:r w:rsidR="0040681E">
              <w:rPr>
                <w:noProof/>
                <w:webHidden/>
              </w:rPr>
              <w:fldChar w:fldCharType="begin"/>
            </w:r>
            <w:r w:rsidR="0040681E">
              <w:rPr>
                <w:noProof/>
                <w:webHidden/>
              </w:rPr>
              <w:instrText xml:space="preserve"> PAGEREF _Toc110436496 \h </w:instrText>
            </w:r>
            <w:r w:rsidR="0040681E">
              <w:rPr>
                <w:noProof/>
                <w:webHidden/>
              </w:rPr>
            </w:r>
            <w:r w:rsidR="0040681E">
              <w:rPr>
                <w:noProof/>
                <w:webHidden/>
              </w:rPr>
              <w:fldChar w:fldCharType="separate"/>
            </w:r>
            <w:r w:rsidR="0040681E">
              <w:rPr>
                <w:noProof/>
                <w:webHidden/>
              </w:rPr>
              <w:t>26</w:t>
            </w:r>
            <w:r w:rsidR="0040681E">
              <w:rPr>
                <w:noProof/>
                <w:webHidden/>
              </w:rPr>
              <w:fldChar w:fldCharType="end"/>
            </w:r>
          </w:hyperlink>
        </w:p>
        <w:p w14:paraId="0438A4F3"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497" w:history="1">
            <w:r w:rsidR="0040681E" w:rsidRPr="0089715E">
              <w:rPr>
                <w:rStyle w:val="Lienhypertexte"/>
                <w:noProof/>
              </w:rPr>
              <w:t>20.1.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avant la mise en service industrielle</w:t>
            </w:r>
            <w:r w:rsidR="0040681E">
              <w:rPr>
                <w:noProof/>
                <w:webHidden/>
              </w:rPr>
              <w:tab/>
            </w:r>
            <w:r w:rsidR="0040681E">
              <w:rPr>
                <w:noProof/>
                <w:webHidden/>
              </w:rPr>
              <w:fldChar w:fldCharType="begin"/>
            </w:r>
            <w:r w:rsidR="0040681E">
              <w:rPr>
                <w:noProof/>
                <w:webHidden/>
              </w:rPr>
              <w:instrText xml:space="preserve"> PAGEREF _Toc110436497 \h </w:instrText>
            </w:r>
            <w:r w:rsidR="0040681E">
              <w:rPr>
                <w:noProof/>
                <w:webHidden/>
              </w:rPr>
            </w:r>
            <w:r w:rsidR="0040681E">
              <w:rPr>
                <w:noProof/>
                <w:webHidden/>
              </w:rPr>
              <w:fldChar w:fldCharType="separate"/>
            </w:r>
            <w:r w:rsidR="0040681E">
              <w:rPr>
                <w:noProof/>
                <w:webHidden/>
              </w:rPr>
              <w:t>26</w:t>
            </w:r>
            <w:r w:rsidR="0040681E">
              <w:rPr>
                <w:noProof/>
                <w:webHidden/>
              </w:rPr>
              <w:fldChar w:fldCharType="end"/>
            </w:r>
          </w:hyperlink>
        </w:p>
        <w:p w14:paraId="0C1CB906" w14:textId="77777777" w:rsidR="0040681E" w:rsidRDefault="00A775B6">
          <w:pPr>
            <w:pStyle w:val="TM3"/>
            <w:rPr>
              <w:rFonts w:asciiTheme="minorHAnsi" w:eastAsiaTheme="minorEastAsia" w:hAnsiTheme="minorHAnsi" w:cstheme="minorBidi"/>
              <w:color w:val="auto"/>
              <w:szCs w:val="22"/>
              <w:lang w:eastAsia="fr-FR"/>
            </w:rPr>
          </w:pPr>
          <w:hyperlink w:anchor="_Toc110436498" w:history="1">
            <w:r w:rsidR="0040681E" w:rsidRPr="0089715E">
              <w:rPr>
                <w:rStyle w:val="Lienhypertexte"/>
              </w:rPr>
              <w:t>20.1.1. Concertation entre le Stockeur et le GRT pendant la période des essais</w:t>
            </w:r>
            <w:r w:rsidR="0040681E">
              <w:rPr>
                <w:webHidden/>
              </w:rPr>
              <w:tab/>
            </w:r>
            <w:r w:rsidR="0040681E">
              <w:rPr>
                <w:webHidden/>
              </w:rPr>
              <w:fldChar w:fldCharType="begin"/>
            </w:r>
            <w:r w:rsidR="0040681E">
              <w:rPr>
                <w:webHidden/>
              </w:rPr>
              <w:instrText xml:space="preserve"> PAGEREF _Toc110436498 \h </w:instrText>
            </w:r>
            <w:r w:rsidR="0040681E">
              <w:rPr>
                <w:webHidden/>
              </w:rPr>
            </w:r>
            <w:r w:rsidR="0040681E">
              <w:rPr>
                <w:webHidden/>
              </w:rPr>
              <w:fldChar w:fldCharType="separate"/>
            </w:r>
            <w:r w:rsidR="0040681E">
              <w:rPr>
                <w:webHidden/>
              </w:rPr>
              <w:t>26</w:t>
            </w:r>
            <w:r w:rsidR="0040681E">
              <w:rPr>
                <w:webHidden/>
              </w:rPr>
              <w:fldChar w:fldCharType="end"/>
            </w:r>
          </w:hyperlink>
        </w:p>
        <w:p w14:paraId="44F2DE3E" w14:textId="77777777" w:rsidR="0040681E" w:rsidRDefault="00A775B6">
          <w:pPr>
            <w:pStyle w:val="TM3"/>
            <w:rPr>
              <w:rFonts w:asciiTheme="minorHAnsi" w:eastAsiaTheme="minorEastAsia" w:hAnsiTheme="minorHAnsi" w:cstheme="minorBidi"/>
              <w:color w:val="auto"/>
              <w:szCs w:val="22"/>
              <w:lang w:eastAsia="fr-FR"/>
            </w:rPr>
          </w:pPr>
          <w:hyperlink w:anchor="_Toc110436499" w:history="1">
            <w:r w:rsidR="0040681E" w:rsidRPr="0089715E">
              <w:rPr>
                <w:rStyle w:val="Lienhypertexte"/>
              </w:rPr>
              <w:t>20.1.2. Concertation entre le Stockeur et le GRT pendant la période de Marche Probatoire</w:t>
            </w:r>
            <w:r w:rsidR="0040681E">
              <w:rPr>
                <w:webHidden/>
              </w:rPr>
              <w:tab/>
            </w:r>
            <w:r w:rsidR="0040681E">
              <w:rPr>
                <w:webHidden/>
              </w:rPr>
              <w:fldChar w:fldCharType="begin"/>
            </w:r>
            <w:r w:rsidR="0040681E">
              <w:rPr>
                <w:webHidden/>
              </w:rPr>
              <w:instrText xml:space="preserve"> PAGEREF _Toc110436499 \h </w:instrText>
            </w:r>
            <w:r w:rsidR="0040681E">
              <w:rPr>
                <w:webHidden/>
              </w:rPr>
            </w:r>
            <w:r w:rsidR="0040681E">
              <w:rPr>
                <w:webHidden/>
              </w:rPr>
              <w:fldChar w:fldCharType="separate"/>
            </w:r>
            <w:r w:rsidR="0040681E">
              <w:rPr>
                <w:webHidden/>
              </w:rPr>
              <w:t>27</w:t>
            </w:r>
            <w:r w:rsidR="0040681E">
              <w:rPr>
                <w:webHidden/>
              </w:rPr>
              <w:fldChar w:fldCharType="end"/>
            </w:r>
          </w:hyperlink>
        </w:p>
        <w:p w14:paraId="3444B9CE" w14:textId="77777777" w:rsidR="0040681E" w:rsidRDefault="00A775B6">
          <w:pPr>
            <w:pStyle w:val="TM3"/>
            <w:rPr>
              <w:rFonts w:asciiTheme="minorHAnsi" w:eastAsiaTheme="minorEastAsia" w:hAnsiTheme="minorHAnsi" w:cstheme="minorBidi"/>
              <w:color w:val="auto"/>
              <w:szCs w:val="22"/>
              <w:lang w:eastAsia="fr-FR"/>
            </w:rPr>
          </w:pPr>
          <w:hyperlink w:anchor="_Toc110436500" w:history="1">
            <w:r w:rsidR="0040681E" w:rsidRPr="0089715E">
              <w:rPr>
                <w:rStyle w:val="Lienhypertexte"/>
              </w:rPr>
              <w:t>20.1.3. Rémunération pendant les périodes d’essais et de Marche Probatoire</w:t>
            </w:r>
            <w:r w:rsidR="0040681E">
              <w:rPr>
                <w:webHidden/>
              </w:rPr>
              <w:tab/>
            </w:r>
            <w:r w:rsidR="0040681E">
              <w:rPr>
                <w:webHidden/>
              </w:rPr>
              <w:fldChar w:fldCharType="begin"/>
            </w:r>
            <w:r w:rsidR="0040681E">
              <w:rPr>
                <w:webHidden/>
              </w:rPr>
              <w:instrText xml:space="preserve"> PAGEREF _Toc110436500 \h </w:instrText>
            </w:r>
            <w:r w:rsidR="0040681E">
              <w:rPr>
                <w:webHidden/>
              </w:rPr>
            </w:r>
            <w:r w:rsidR="0040681E">
              <w:rPr>
                <w:webHidden/>
              </w:rPr>
              <w:fldChar w:fldCharType="separate"/>
            </w:r>
            <w:r w:rsidR="0040681E">
              <w:rPr>
                <w:webHidden/>
              </w:rPr>
              <w:t>27</w:t>
            </w:r>
            <w:r w:rsidR="0040681E">
              <w:rPr>
                <w:webHidden/>
              </w:rPr>
              <w:fldChar w:fldCharType="end"/>
            </w:r>
          </w:hyperlink>
        </w:p>
        <w:p w14:paraId="4B98E00A"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501" w:history="1">
            <w:r w:rsidR="0040681E" w:rsidRPr="0089715E">
              <w:rPr>
                <w:rStyle w:val="Lienhypertexte"/>
                <w:noProof/>
              </w:rPr>
              <w:t>20.2.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Essais après la mise en service industrielle</w:t>
            </w:r>
            <w:r w:rsidR="0040681E">
              <w:rPr>
                <w:noProof/>
                <w:webHidden/>
              </w:rPr>
              <w:tab/>
            </w:r>
            <w:r w:rsidR="0040681E">
              <w:rPr>
                <w:noProof/>
                <w:webHidden/>
              </w:rPr>
              <w:fldChar w:fldCharType="begin"/>
            </w:r>
            <w:r w:rsidR="0040681E">
              <w:rPr>
                <w:noProof/>
                <w:webHidden/>
              </w:rPr>
              <w:instrText xml:space="preserve"> PAGEREF _Toc110436501 \h </w:instrText>
            </w:r>
            <w:r w:rsidR="0040681E">
              <w:rPr>
                <w:noProof/>
                <w:webHidden/>
              </w:rPr>
            </w:r>
            <w:r w:rsidR="0040681E">
              <w:rPr>
                <w:noProof/>
                <w:webHidden/>
              </w:rPr>
              <w:fldChar w:fldCharType="separate"/>
            </w:r>
            <w:r w:rsidR="0040681E">
              <w:rPr>
                <w:noProof/>
                <w:webHidden/>
              </w:rPr>
              <w:t>27</w:t>
            </w:r>
            <w:r w:rsidR="0040681E">
              <w:rPr>
                <w:noProof/>
                <w:webHidden/>
              </w:rPr>
              <w:fldChar w:fldCharType="end"/>
            </w:r>
          </w:hyperlink>
        </w:p>
        <w:p w14:paraId="42D7AF0F"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02" w:history="1">
            <w:r w:rsidR="0040681E" w:rsidRPr="0089715E">
              <w:rPr>
                <w:rStyle w:val="Lienhypertexte"/>
                <w:noProof/>
              </w:rPr>
              <w:t>21. Durée du contrat</w:t>
            </w:r>
            <w:r w:rsidR="0040681E">
              <w:rPr>
                <w:noProof/>
                <w:webHidden/>
              </w:rPr>
              <w:tab/>
            </w:r>
            <w:r w:rsidR="0040681E">
              <w:rPr>
                <w:noProof/>
                <w:webHidden/>
              </w:rPr>
              <w:fldChar w:fldCharType="begin"/>
            </w:r>
            <w:r w:rsidR="0040681E">
              <w:rPr>
                <w:noProof/>
                <w:webHidden/>
              </w:rPr>
              <w:instrText xml:space="preserve"> PAGEREF _Toc110436502 \h </w:instrText>
            </w:r>
            <w:r w:rsidR="0040681E">
              <w:rPr>
                <w:noProof/>
                <w:webHidden/>
              </w:rPr>
            </w:r>
            <w:r w:rsidR="0040681E">
              <w:rPr>
                <w:noProof/>
                <w:webHidden/>
              </w:rPr>
              <w:fldChar w:fldCharType="separate"/>
            </w:r>
            <w:r w:rsidR="0040681E">
              <w:rPr>
                <w:noProof/>
                <w:webHidden/>
              </w:rPr>
              <w:t>28</w:t>
            </w:r>
            <w:r w:rsidR="0040681E">
              <w:rPr>
                <w:noProof/>
                <w:webHidden/>
              </w:rPr>
              <w:fldChar w:fldCharType="end"/>
            </w:r>
          </w:hyperlink>
        </w:p>
        <w:p w14:paraId="67639A9A"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03" w:history="1">
            <w:r w:rsidR="0040681E" w:rsidRPr="0089715E">
              <w:rPr>
                <w:rStyle w:val="Lienhypertexte"/>
                <w:noProof/>
              </w:rPr>
              <w:t>22. Cession du contrat</w:t>
            </w:r>
            <w:r w:rsidR="0040681E">
              <w:rPr>
                <w:noProof/>
                <w:webHidden/>
              </w:rPr>
              <w:tab/>
            </w:r>
            <w:r w:rsidR="0040681E">
              <w:rPr>
                <w:noProof/>
                <w:webHidden/>
              </w:rPr>
              <w:fldChar w:fldCharType="begin"/>
            </w:r>
            <w:r w:rsidR="0040681E">
              <w:rPr>
                <w:noProof/>
                <w:webHidden/>
              </w:rPr>
              <w:instrText xml:space="preserve"> PAGEREF _Toc110436503 \h </w:instrText>
            </w:r>
            <w:r w:rsidR="0040681E">
              <w:rPr>
                <w:noProof/>
                <w:webHidden/>
              </w:rPr>
            </w:r>
            <w:r w:rsidR="0040681E">
              <w:rPr>
                <w:noProof/>
                <w:webHidden/>
              </w:rPr>
              <w:fldChar w:fldCharType="separate"/>
            </w:r>
            <w:r w:rsidR="0040681E">
              <w:rPr>
                <w:noProof/>
                <w:webHidden/>
              </w:rPr>
              <w:t>28</w:t>
            </w:r>
            <w:r w:rsidR="0040681E">
              <w:rPr>
                <w:noProof/>
                <w:webHidden/>
              </w:rPr>
              <w:fldChar w:fldCharType="end"/>
            </w:r>
          </w:hyperlink>
        </w:p>
        <w:p w14:paraId="732F0313"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04" w:history="1">
            <w:r w:rsidR="0040681E" w:rsidRPr="0089715E">
              <w:rPr>
                <w:rStyle w:val="Lienhypertexte"/>
                <w:noProof/>
              </w:rPr>
              <w:t>23. Responsabilité</w:t>
            </w:r>
            <w:r w:rsidR="0040681E">
              <w:rPr>
                <w:noProof/>
                <w:webHidden/>
              </w:rPr>
              <w:tab/>
            </w:r>
            <w:r w:rsidR="0040681E">
              <w:rPr>
                <w:noProof/>
                <w:webHidden/>
              </w:rPr>
              <w:fldChar w:fldCharType="begin"/>
            </w:r>
            <w:r w:rsidR="0040681E">
              <w:rPr>
                <w:noProof/>
                <w:webHidden/>
              </w:rPr>
              <w:instrText xml:space="preserve"> PAGEREF _Toc110436504 \h </w:instrText>
            </w:r>
            <w:r w:rsidR="0040681E">
              <w:rPr>
                <w:noProof/>
                <w:webHidden/>
              </w:rPr>
            </w:r>
            <w:r w:rsidR="0040681E">
              <w:rPr>
                <w:noProof/>
                <w:webHidden/>
              </w:rPr>
              <w:fldChar w:fldCharType="separate"/>
            </w:r>
            <w:r w:rsidR="0040681E">
              <w:rPr>
                <w:noProof/>
                <w:webHidden/>
              </w:rPr>
              <w:t>28</w:t>
            </w:r>
            <w:r w:rsidR="0040681E">
              <w:rPr>
                <w:noProof/>
                <w:webHidden/>
              </w:rPr>
              <w:fldChar w:fldCharType="end"/>
            </w:r>
          </w:hyperlink>
        </w:p>
        <w:p w14:paraId="6D95D6C7"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05" w:history="1">
            <w:r w:rsidR="0040681E" w:rsidRPr="0089715E">
              <w:rPr>
                <w:rStyle w:val="Lienhypertexte"/>
                <w:noProof/>
              </w:rPr>
              <w:t>24. Assurances</w:t>
            </w:r>
            <w:r w:rsidR="0040681E">
              <w:rPr>
                <w:noProof/>
                <w:webHidden/>
              </w:rPr>
              <w:tab/>
            </w:r>
            <w:r w:rsidR="0040681E">
              <w:rPr>
                <w:noProof/>
                <w:webHidden/>
              </w:rPr>
              <w:fldChar w:fldCharType="begin"/>
            </w:r>
            <w:r w:rsidR="0040681E">
              <w:rPr>
                <w:noProof/>
                <w:webHidden/>
              </w:rPr>
              <w:instrText xml:space="preserve"> PAGEREF _Toc110436505 \h </w:instrText>
            </w:r>
            <w:r w:rsidR="0040681E">
              <w:rPr>
                <w:noProof/>
                <w:webHidden/>
              </w:rPr>
            </w:r>
            <w:r w:rsidR="0040681E">
              <w:rPr>
                <w:noProof/>
                <w:webHidden/>
              </w:rPr>
              <w:fldChar w:fldCharType="separate"/>
            </w:r>
            <w:r w:rsidR="0040681E">
              <w:rPr>
                <w:noProof/>
                <w:webHidden/>
              </w:rPr>
              <w:t>29</w:t>
            </w:r>
            <w:r w:rsidR="0040681E">
              <w:rPr>
                <w:noProof/>
                <w:webHidden/>
              </w:rPr>
              <w:fldChar w:fldCharType="end"/>
            </w:r>
          </w:hyperlink>
        </w:p>
        <w:p w14:paraId="285D7945"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06" w:history="1">
            <w:r w:rsidR="0040681E" w:rsidRPr="0089715E">
              <w:rPr>
                <w:rStyle w:val="Lienhypertexte"/>
                <w:noProof/>
              </w:rPr>
              <w:t>25. Clause de sauvegarde</w:t>
            </w:r>
            <w:r w:rsidR="0040681E">
              <w:rPr>
                <w:noProof/>
                <w:webHidden/>
              </w:rPr>
              <w:tab/>
            </w:r>
            <w:r w:rsidR="0040681E">
              <w:rPr>
                <w:noProof/>
                <w:webHidden/>
              </w:rPr>
              <w:fldChar w:fldCharType="begin"/>
            </w:r>
            <w:r w:rsidR="0040681E">
              <w:rPr>
                <w:noProof/>
                <w:webHidden/>
              </w:rPr>
              <w:instrText xml:space="preserve"> PAGEREF _Toc110436506 \h </w:instrText>
            </w:r>
            <w:r w:rsidR="0040681E">
              <w:rPr>
                <w:noProof/>
                <w:webHidden/>
              </w:rPr>
            </w:r>
            <w:r w:rsidR="0040681E">
              <w:rPr>
                <w:noProof/>
                <w:webHidden/>
              </w:rPr>
              <w:fldChar w:fldCharType="separate"/>
            </w:r>
            <w:r w:rsidR="0040681E">
              <w:rPr>
                <w:noProof/>
                <w:webHidden/>
              </w:rPr>
              <w:t>29</w:t>
            </w:r>
            <w:r w:rsidR="0040681E">
              <w:rPr>
                <w:noProof/>
                <w:webHidden/>
              </w:rPr>
              <w:fldChar w:fldCharType="end"/>
            </w:r>
          </w:hyperlink>
        </w:p>
        <w:p w14:paraId="250211FA"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07" w:history="1">
            <w:r w:rsidR="0040681E" w:rsidRPr="0089715E">
              <w:rPr>
                <w:rStyle w:val="Lienhypertexte"/>
                <w:noProof/>
                <w:highlight w:val="yellow"/>
              </w:rPr>
              <w:t>26. Demantelement, depollution et remise en etat</w:t>
            </w:r>
            <w:r w:rsidR="0040681E">
              <w:rPr>
                <w:noProof/>
                <w:webHidden/>
              </w:rPr>
              <w:tab/>
            </w:r>
            <w:r w:rsidR="0040681E">
              <w:rPr>
                <w:noProof/>
                <w:webHidden/>
              </w:rPr>
              <w:fldChar w:fldCharType="begin"/>
            </w:r>
            <w:r w:rsidR="0040681E">
              <w:rPr>
                <w:noProof/>
                <w:webHidden/>
              </w:rPr>
              <w:instrText xml:space="preserve"> PAGEREF _Toc110436507 \h </w:instrText>
            </w:r>
            <w:r w:rsidR="0040681E">
              <w:rPr>
                <w:noProof/>
                <w:webHidden/>
              </w:rPr>
            </w:r>
            <w:r w:rsidR="0040681E">
              <w:rPr>
                <w:noProof/>
                <w:webHidden/>
              </w:rPr>
              <w:fldChar w:fldCharType="separate"/>
            </w:r>
            <w:r w:rsidR="0040681E">
              <w:rPr>
                <w:noProof/>
                <w:webHidden/>
              </w:rPr>
              <w:t>29</w:t>
            </w:r>
            <w:r w:rsidR="0040681E">
              <w:rPr>
                <w:noProof/>
                <w:webHidden/>
              </w:rPr>
              <w:fldChar w:fldCharType="end"/>
            </w:r>
          </w:hyperlink>
        </w:p>
        <w:p w14:paraId="5B78695A"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08" w:history="1">
            <w:r w:rsidR="0040681E" w:rsidRPr="0089715E">
              <w:rPr>
                <w:rStyle w:val="Lienhypertexte"/>
                <w:noProof/>
              </w:rPr>
              <w:t>27. Force majeure</w:t>
            </w:r>
            <w:r w:rsidR="0040681E">
              <w:rPr>
                <w:noProof/>
                <w:webHidden/>
              </w:rPr>
              <w:tab/>
            </w:r>
            <w:r w:rsidR="0040681E">
              <w:rPr>
                <w:noProof/>
                <w:webHidden/>
              </w:rPr>
              <w:fldChar w:fldCharType="begin"/>
            </w:r>
            <w:r w:rsidR="0040681E">
              <w:rPr>
                <w:noProof/>
                <w:webHidden/>
              </w:rPr>
              <w:instrText xml:space="preserve"> PAGEREF _Toc110436508 \h </w:instrText>
            </w:r>
            <w:r w:rsidR="0040681E">
              <w:rPr>
                <w:noProof/>
                <w:webHidden/>
              </w:rPr>
            </w:r>
            <w:r w:rsidR="0040681E">
              <w:rPr>
                <w:noProof/>
                <w:webHidden/>
              </w:rPr>
              <w:fldChar w:fldCharType="separate"/>
            </w:r>
            <w:r w:rsidR="0040681E">
              <w:rPr>
                <w:noProof/>
                <w:webHidden/>
              </w:rPr>
              <w:t>30</w:t>
            </w:r>
            <w:r w:rsidR="0040681E">
              <w:rPr>
                <w:noProof/>
                <w:webHidden/>
              </w:rPr>
              <w:fldChar w:fldCharType="end"/>
            </w:r>
          </w:hyperlink>
        </w:p>
        <w:p w14:paraId="356E911D"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09" w:history="1">
            <w:r w:rsidR="0040681E" w:rsidRPr="0089715E">
              <w:rPr>
                <w:rStyle w:val="Lienhypertexte"/>
                <w:noProof/>
              </w:rPr>
              <w:t>28. Réglement des différends</w:t>
            </w:r>
            <w:r w:rsidR="0040681E">
              <w:rPr>
                <w:noProof/>
                <w:webHidden/>
              </w:rPr>
              <w:tab/>
            </w:r>
            <w:r w:rsidR="0040681E">
              <w:rPr>
                <w:noProof/>
                <w:webHidden/>
              </w:rPr>
              <w:fldChar w:fldCharType="begin"/>
            </w:r>
            <w:r w:rsidR="0040681E">
              <w:rPr>
                <w:noProof/>
                <w:webHidden/>
              </w:rPr>
              <w:instrText xml:space="preserve"> PAGEREF _Toc110436509 \h </w:instrText>
            </w:r>
            <w:r w:rsidR="0040681E">
              <w:rPr>
                <w:noProof/>
                <w:webHidden/>
              </w:rPr>
            </w:r>
            <w:r w:rsidR="0040681E">
              <w:rPr>
                <w:noProof/>
                <w:webHidden/>
              </w:rPr>
              <w:fldChar w:fldCharType="separate"/>
            </w:r>
            <w:r w:rsidR="0040681E">
              <w:rPr>
                <w:noProof/>
                <w:webHidden/>
              </w:rPr>
              <w:t>31</w:t>
            </w:r>
            <w:r w:rsidR="0040681E">
              <w:rPr>
                <w:noProof/>
                <w:webHidden/>
              </w:rPr>
              <w:fldChar w:fldCharType="end"/>
            </w:r>
          </w:hyperlink>
        </w:p>
        <w:p w14:paraId="6DC1E331"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10" w:history="1">
            <w:r w:rsidR="0040681E" w:rsidRPr="0089715E">
              <w:rPr>
                <w:rStyle w:val="Lienhypertexte"/>
                <w:noProof/>
              </w:rPr>
              <w:t>29. Confidentialité</w:t>
            </w:r>
            <w:r w:rsidR="0040681E">
              <w:rPr>
                <w:noProof/>
                <w:webHidden/>
              </w:rPr>
              <w:tab/>
            </w:r>
            <w:r w:rsidR="0040681E">
              <w:rPr>
                <w:noProof/>
                <w:webHidden/>
              </w:rPr>
              <w:fldChar w:fldCharType="begin"/>
            </w:r>
            <w:r w:rsidR="0040681E">
              <w:rPr>
                <w:noProof/>
                <w:webHidden/>
              </w:rPr>
              <w:instrText xml:space="preserve"> PAGEREF _Toc110436510 \h </w:instrText>
            </w:r>
            <w:r w:rsidR="0040681E">
              <w:rPr>
                <w:noProof/>
                <w:webHidden/>
              </w:rPr>
            </w:r>
            <w:r w:rsidR="0040681E">
              <w:rPr>
                <w:noProof/>
                <w:webHidden/>
              </w:rPr>
              <w:fldChar w:fldCharType="separate"/>
            </w:r>
            <w:r w:rsidR="0040681E">
              <w:rPr>
                <w:noProof/>
                <w:webHidden/>
              </w:rPr>
              <w:t>31</w:t>
            </w:r>
            <w:r w:rsidR="0040681E">
              <w:rPr>
                <w:noProof/>
                <w:webHidden/>
              </w:rPr>
              <w:fldChar w:fldCharType="end"/>
            </w:r>
          </w:hyperlink>
        </w:p>
        <w:p w14:paraId="4235D0F4"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11" w:history="1">
            <w:r w:rsidR="0040681E" w:rsidRPr="0089715E">
              <w:rPr>
                <w:rStyle w:val="Lienhypertexte"/>
                <w:noProof/>
              </w:rPr>
              <w:t>30. timbre et enregistrement</w:t>
            </w:r>
            <w:r w:rsidR="0040681E">
              <w:rPr>
                <w:noProof/>
                <w:webHidden/>
              </w:rPr>
              <w:tab/>
            </w:r>
            <w:r w:rsidR="0040681E">
              <w:rPr>
                <w:noProof/>
                <w:webHidden/>
              </w:rPr>
              <w:fldChar w:fldCharType="begin"/>
            </w:r>
            <w:r w:rsidR="0040681E">
              <w:rPr>
                <w:noProof/>
                <w:webHidden/>
              </w:rPr>
              <w:instrText xml:space="preserve"> PAGEREF _Toc110436511 \h </w:instrText>
            </w:r>
            <w:r w:rsidR="0040681E">
              <w:rPr>
                <w:noProof/>
                <w:webHidden/>
              </w:rPr>
            </w:r>
            <w:r w:rsidR="0040681E">
              <w:rPr>
                <w:noProof/>
                <w:webHidden/>
              </w:rPr>
              <w:fldChar w:fldCharType="separate"/>
            </w:r>
            <w:r w:rsidR="0040681E">
              <w:rPr>
                <w:noProof/>
                <w:webHidden/>
              </w:rPr>
              <w:t>31</w:t>
            </w:r>
            <w:r w:rsidR="0040681E">
              <w:rPr>
                <w:noProof/>
                <w:webHidden/>
              </w:rPr>
              <w:fldChar w:fldCharType="end"/>
            </w:r>
          </w:hyperlink>
        </w:p>
        <w:p w14:paraId="259DE7C0" w14:textId="77777777" w:rsidR="0040681E" w:rsidRDefault="00A775B6">
          <w:pPr>
            <w:pStyle w:val="TM1"/>
            <w:rPr>
              <w:rFonts w:asciiTheme="minorHAnsi" w:eastAsiaTheme="minorEastAsia" w:hAnsiTheme="minorHAnsi" w:cstheme="minorBidi"/>
              <w:b w:val="0"/>
              <w:caps w:val="0"/>
              <w:noProof/>
              <w:color w:val="auto"/>
              <w:szCs w:val="22"/>
              <w:lang w:eastAsia="fr-FR"/>
            </w:rPr>
          </w:pPr>
          <w:hyperlink w:anchor="_Toc110436512" w:history="1">
            <w:r w:rsidR="0040681E" w:rsidRPr="0089715E">
              <w:rPr>
                <w:rStyle w:val="Lienhypertexte"/>
                <w:noProof/>
              </w:rPr>
              <w:t>31. Notifications</w:t>
            </w:r>
            <w:r w:rsidR="0040681E">
              <w:rPr>
                <w:noProof/>
                <w:webHidden/>
              </w:rPr>
              <w:tab/>
            </w:r>
            <w:r w:rsidR="0040681E">
              <w:rPr>
                <w:noProof/>
                <w:webHidden/>
              </w:rPr>
              <w:fldChar w:fldCharType="begin"/>
            </w:r>
            <w:r w:rsidR="0040681E">
              <w:rPr>
                <w:noProof/>
                <w:webHidden/>
              </w:rPr>
              <w:instrText xml:space="preserve"> PAGEREF _Toc110436512 \h </w:instrText>
            </w:r>
            <w:r w:rsidR="0040681E">
              <w:rPr>
                <w:noProof/>
                <w:webHidden/>
              </w:rPr>
            </w:r>
            <w:r w:rsidR="0040681E">
              <w:rPr>
                <w:noProof/>
                <w:webHidden/>
              </w:rPr>
              <w:fldChar w:fldCharType="separate"/>
            </w:r>
            <w:r w:rsidR="0040681E">
              <w:rPr>
                <w:noProof/>
                <w:webHidden/>
              </w:rPr>
              <w:t>31</w:t>
            </w:r>
            <w:r w:rsidR="0040681E">
              <w:rPr>
                <w:noProof/>
                <w:webHidden/>
              </w:rPr>
              <w:fldChar w:fldCharType="end"/>
            </w:r>
          </w:hyperlink>
        </w:p>
        <w:p w14:paraId="35D072B0"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513" w:history="1">
            <w:r w:rsidR="0040681E" w:rsidRPr="0089715E">
              <w:rPr>
                <w:rStyle w:val="Lienhypertexte"/>
                <w:noProof/>
              </w:rPr>
              <w:t>31.1.</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Intégralité du Contrat et Modification du Contrat</w:t>
            </w:r>
            <w:r w:rsidR="0040681E">
              <w:rPr>
                <w:noProof/>
                <w:webHidden/>
              </w:rPr>
              <w:tab/>
            </w:r>
            <w:r w:rsidR="0040681E">
              <w:rPr>
                <w:noProof/>
                <w:webHidden/>
              </w:rPr>
              <w:fldChar w:fldCharType="begin"/>
            </w:r>
            <w:r w:rsidR="0040681E">
              <w:rPr>
                <w:noProof/>
                <w:webHidden/>
              </w:rPr>
              <w:instrText xml:space="preserve"> PAGEREF _Toc110436513 \h </w:instrText>
            </w:r>
            <w:r w:rsidR="0040681E">
              <w:rPr>
                <w:noProof/>
                <w:webHidden/>
              </w:rPr>
            </w:r>
            <w:r w:rsidR="0040681E">
              <w:rPr>
                <w:noProof/>
                <w:webHidden/>
              </w:rPr>
              <w:fldChar w:fldCharType="separate"/>
            </w:r>
            <w:r w:rsidR="0040681E">
              <w:rPr>
                <w:noProof/>
                <w:webHidden/>
              </w:rPr>
              <w:t>31</w:t>
            </w:r>
            <w:r w:rsidR="0040681E">
              <w:rPr>
                <w:noProof/>
                <w:webHidden/>
              </w:rPr>
              <w:fldChar w:fldCharType="end"/>
            </w:r>
          </w:hyperlink>
        </w:p>
        <w:p w14:paraId="18CC9DC9"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514" w:history="1">
            <w:r w:rsidR="0040681E" w:rsidRPr="0089715E">
              <w:rPr>
                <w:rStyle w:val="Lienhypertexte"/>
                <w:noProof/>
              </w:rPr>
              <w:t>31.2.</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Interprétation des clauses et des Titres</w:t>
            </w:r>
            <w:r w:rsidR="0040681E">
              <w:rPr>
                <w:noProof/>
                <w:webHidden/>
              </w:rPr>
              <w:tab/>
            </w:r>
            <w:r w:rsidR="0040681E">
              <w:rPr>
                <w:noProof/>
                <w:webHidden/>
              </w:rPr>
              <w:fldChar w:fldCharType="begin"/>
            </w:r>
            <w:r w:rsidR="0040681E">
              <w:rPr>
                <w:noProof/>
                <w:webHidden/>
              </w:rPr>
              <w:instrText xml:space="preserve"> PAGEREF _Toc110436514 \h </w:instrText>
            </w:r>
            <w:r w:rsidR="0040681E">
              <w:rPr>
                <w:noProof/>
                <w:webHidden/>
              </w:rPr>
            </w:r>
            <w:r w:rsidR="0040681E">
              <w:rPr>
                <w:noProof/>
                <w:webHidden/>
              </w:rPr>
              <w:fldChar w:fldCharType="separate"/>
            </w:r>
            <w:r w:rsidR="0040681E">
              <w:rPr>
                <w:noProof/>
                <w:webHidden/>
              </w:rPr>
              <w:t>31</w:t>
            </w:r>
            <w:r w:rsidR="0040681E">
              <w:rPr>
                <w:noProof/>
                <w:webHidden/>
              </w:rPr>
              <w:fldChar w:fldCharType="end"/>
            </w:r>
          </w:hyperlink>
        </w:p>
        <w:p w14:paraId="7CCDE54F"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515" w:history="1">
            <w:r w:rsidR="0040681E" w:rsidRPr="0089715E">
              <w:rPr>
                <w:rStyle w:val="Lienhypertexte"/>
                <w:noProof/>
              </w:rPr>
              <w:t>31.3.</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Nullité</w:t>
            </w:r>
            <w:r w:rsidR="0040681E">
              <w:rPr>
                <w:noProof/>
                <w:webHidden/>
              </w:rPr>
              <w:tab/>
            </w:r>
            <w:r w:rsidR="0040681E">
              <w:rPr>
                <w:noProof/>
                <w:webHidden/>
              </w:rPr>
              <w:fldChar w:fldCharType="begin"/>
            </w:r>
            <w:r w:rsidR="0040681E">
              <w:rPr>
                <w:noProof/>
                <w:webHidden/>
              </w:rPr>
              <w:instrText xml:space="preserve"> PAGEREF _Toc110436515 \h </w:instrText>
            </w:r>
            <w:r w:rsidR="0040681E">
              <w:rPr>
                <w:noProof/>
                <w:webHidden/>
              </w:rPr>
            </w:r>
            <w:r w:rsidR="0040681E">
              <w:rPr>
                <w:noProof/>
                <w:webHidden/>
              </w:rPr>
              <w:fldChar w:fldCharType="separate"/>
            </w:r>
            <w:r w:rsidR="0040681E">
              <w:rPr>
                <w:noProof/>
                <w:webHidden/>
              </w:rPr>
              <w:t>31</w:t>
            </w:r>
            <w:r w:rsidR="0040681E">
              <w:rPr>
                <w:noProof/>
                <w:webHidden/>
              </w:rPr>
              <w:fldChar w:fldCharType="end"/>
            </w:r>
          </w:hyperlink>
        </w:p>
        <w:p w14:paraId="01E2F7DF"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516" w:history="1">
            <w:r w:rsidR="0040681E" w:rsidRPr="0089715E">
              <w:rPr>
                <w:rStyle w:val="Lienhypertexte"/>
                <w:noProof/>
              </w:rPr>
              <w:t>31.4.</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Renonciation</w:t>
            </w:r>
            <w:r w:rsidR="0040681E">
              <w:rPr>
                <w:noProof/>
                <w:webHidden/>
              </w:rPr>
              <w:tab/>
            </w:r>
            <w:r w:rsidR="0040681E">
              <w:rPr>
                <w:noProof/>
                <w:webHidden/>
              </w:rPr>
              <w:fldChar w:fldCharType="begin"/>
            </w:r>
            <w:r w:rsidR="0040681E">
              <w:rPr>
                <w:noProof/>
                <w:webHidden/>
              </w:rPr>
              <w:instrText xml:space="preserve"> PAGEREF _Toc110436516 \h </w:instrText>
            </w:r>
            <w:r w:rsidR="0040681E">
              <w:rPr>
                <w:noProof/>
                <w:webHidden/>
              </w:rPr>
            </w:r>
            <w:r w:rsidR="0040681E">
              <w:rPr>
                <w:noProof/>
                <w:webHidden/>
              </w:rPr>
              <w:fldChar w:fldCharType="separate"/>
            </w:r>
            <w:r w:rsidR="0040681E">
              <w:rPr>
                <w:noProof/>
                <w:webHidden/>
              </w:rPr>
              <w:t>32</w:t>
            </w:r>
            <w:r w:rsidR="0040681E">
              <w:rPr>
                <w:noProof/>
                <w:webHidden/>
              </w:rPr>
              <w:fldChar w:fldCharType="end"/>
            </w:r>
          </w:hyperlink>
        </w:p>
        <w:p w14:paraId="7B4BD656" w14:textId="77777777" w:rsidR="0040681E" w:rsidRDefault="00A775B6">
          <w:pPr>
            <w:pStyle w:val="TM2"/>
            <w:rPr>
              <w:rFonts w:asciiTheme="minorHAnsi" w:eastAsiaTheme="minorEastAsia" w:hAnsiTheme="minorHAnsi" w:cstheme="minorBidi"/>
              <w:b w:val="0"/>
              <w:caps w:val="0"/>
              <w:noProof/>
              <w:color w:val="auto"/>
              <w:szCs w:val="22"/>
              <w:lang w:eastAsia="fr-FR"/>
            </w:rPr>
          </w:pPr>
          <w:hyperlink w:anchor="_Toc110436517" w:history="1">
            <w:r w:rsidR="0040681E" w:rsidRPr="0089715E">
              <w:rPr>
                <w:rStyle w:val="Lienhypertexte"/>
                <w:noProof/>
              </w:rPr>
              <w:t>31.5.</w:t>
            </w:r>
            <w:r w:rsidR="0040681E">
              <w:rPr>
                <w:rFonts w:asciiTheme="minorHAnsi" w:eastAsiaTheme="minorEastAsia" w:hAnsiTheme="minorHAnsi" w:cstheme="minorBidi"/>
                <w:b w:val="0"/>
                <w:caps w:val="0"/>
                <w:noProof/>
                <w:color w:val="auto"/>
                <w:szCs w:val="22"/>
                <w:lang w:eastAsia="fr-FR"/>
              </w:rPr>
              <w:tab/>
            </w:r>
            <w:r w:rsidR="0040681E" w:rsidRPr="0089715E">
              <w:rPr>
                <w:rStyle w:val="Lienhypertexte"/>
                <w:noProof/>
              </w:rPr>
              <w:t>Désignation des interlocuteurs</w:t>
            </w:r>
            <w:r w:rsidR="0040681E">
              <w:rPr>
                <w:noProof/>
                <w:webHidden/>
              </w:rPr>
              <w:tab/>
            </w:r>
            <w:r w:rsidR="0040681E">
              <w:rPr>
                <w:noProof/>
                <w:webHidden/>
              </w:rPr>
              <w:fldChar w:fldCharType="begin"/>
            </w:r>
            <w:r w:rsidR="0040681E">
              <w:rPr>
                <w:noProof/>
                <w:webHidden/>
              </w:rPr>
              <w:instrText xml:space="preserve"> PAGEREF _Toc110436517 \h </w:instrText>
            </w:r>
            <w:r w:rsidR="0040681E">
              <w:rPr>
                <w:noProof/>
                <w:webHidden/>
              </w:rPr>
            </w:r>
            <w:r w:rsidR="0040681E">
              <w:rPr>
                <w:noProof/>
                <w:webHidden/>
              </w:rPr>
              <w:fldChar w:fldCharType="separate"/>
            </w:r>
            <w:r w:rsidR="0040681E">
              <w:rPr>
                <w:noProof/>
                <w:webHidden/>
              </w:rPr>
              <w:t>32</w:t>
            </w:r>
            <w:r w:rsidR="0040681E">
              <w:rPr>
                <w:noProof/>
                <w:webHidden/>
              </w:rPr>
              <w:fldChar w:fldCharType="end"/>
            </w:r>
          </w:hyperlink>
        </w:p>
        <w:p w14:paraId="236E2566" w14:textId="5ED786D1" w:rsidR="00EE1206" w:rsidRDefault="00EE1206">
          <w:r>
            <w:rPr>
              <w:b/>
              <w:bCs/>
            </w:rPr>
            <w:fldChar w:fldCharType="end"/>
          </w:r>
        </w:p>
      </w:sdtContent>
    </w:sdt>
    <w:p w14:paraId="52F65395" w14:textId="77777777" w:rsidR="00EE1206" w:rsidRPr="00DA2F93" w:rsidRDefault="00EE1206" w:rsidP="000548E3">
      <w:pPr>
        <w:pStyle w:val="EDFTitreDocument"/>
        <w:jc w:val="both"/>
      </w:pPr>
    </w:p>
    <w:p w14:paraId="299A0E8F" w14:textId="5C013C20" w:rsidR="00D43C39" w:rsidRPr="00DA2F93" w:rsidRDefault="00D43C39" w:rsidP="000243CB">
      <w:pPr>
        <w:pStyle w:val="corpsdetexte0"/>
        <w:rPr>
          <w:color w:val="001A70"/>
        </w:rPr>
      </w:pPr>
      <w:bookmarkStart w:id="0" w:name="_Toc326770279"/>
    </w:p>
    <w:p w14:paraId="162D5D91" w14:textId="77777777" w:rsidR="00650424" w:rsidRPr="00DA2F93" w:rsidRDefault="00650424" w:rsidP="000548E3">
      <w:pPr>
        <w:spacing w:before="0" w:after="0"/>
        <w:jc w:val="both"/>
        <w:rPr>
          <w:b/>
          <w:caps/>
          <w:color w:val="001A70"/>
          <w:szCs w:val="32"/>
        </w:rPr>
      </w:pPr>
      <w:bookmarkStart w:id="1" w:name="_Toc373133530"/>
      <w:bookmarkEnd w:id="0"/>
      <w:r w:rsidRPr="00DA2F93">
        <w:br w:type="page"/>
      </w:r>
    </w:p>
    <w:p w14:paraId="656B4071" w14:textId="77777777" w:rsidR="00585248" w:rsidRPr="00DA2F93" w:rsidRDefault="00585248" w:rsidP="00585248">
      <w:pPr>
        <w:rPr>
          <w:b/>
          <w:caps/>
        </w:rPr>
      </w:pPr>
      <w:bookmarkStart w:id="2" w:name="_Ref378333791"/>
      <w:bookmarkStart w:id="3" w:name="_Ref378333810"/>
      <w:bookmarkStart w:id="4" w:name="_Ref378335780"/>
      <w:bookmarkStart w:id="5" w:name="_Ref378335787"/>
      <w:bookmarkStart w:id="6" w:name="_Ref378335798"/>
      <w:bookmarkStart w:id="7" w:name="_Ref378335810"/>
      <w:bookmarkStart w:id="8" w:name="_Toc388896063"/>
      <w:bookmarkEnd w:id="1"/>
      <w:r w:rsidRPr="00DA2F93">
        <w:rPr>
          <w:b/>
        </w:rPr>
        <w:lastRenderedPageBreak/>
        <w:t>Il a été convenu ce qui suit :</w:t>
      </w:r>
    </w:p>
    <w:p w14:paraId="5E9414CD" w14:textId="77777777" w:rsidR="00585248" w:rsidRPr="00DA2F93" w:rsidRDefault="00585248" w:rsidP="00585248"/>
    <w:p w14:paraId="71EEEFEF" w14:textId="62EE026C" w:rsidR="00B06849" w:rsidRPr="00DA2F93" w:rsidRDefault="0089300E" w:rsidP="000548E3">
      <w:pPr>
        <w:pStyle w:val="EDFTitre1"/>
        <w:jc w:val="both"/>
      </w:pPr>
      <w:bookmarkStart w:id="9" w:name="_Toc108113907"/>
      <w:bookmarkStart w:id="10" w:name="_Toc110436441"/>
      <w:r w:rsidRPr="00DA2F93">
        <w:t>O</w:t>
      </w:r>
      <w:r w:rsidR="007C0468" w:rsidRPr="00DA2F93">
        <w:t>bjet du présent contrat</w:t>
      </w:r>
      <w:bookmarkEnd w:id="2"/>
      <w:bookmarkEnd w:id="3"/>
      <w:bookmarkEnd w:id="4"/>
      <w:bookmarkEnd w:id="5"/>
      <w:bookmarkEnd w:id="6"/>
      <w:bookmarkEnd w:id="7"/>
      <w:bookmarkEnd w:id="8"/>
      <w:bookmarkEnd w:id="9"/>
      <w:bookmarkEnd w:id="10"/>
    </w:p>
    <w:p w14:paraId="7AC61366" w14:textId="2A45949F" w:rsidR="008E66D2" w:rsidRDefault="008E66D2" w:rsidP="008E66D2">
      <w:pPr>
        <w:jc w:val="both"/>
        <w:rPr>
          <w:rFonts w:cs="Arial"/>
        </w:rPr>
      </w:pPr>
      <w:r>
        <w:rPr>
          <w:rFonts w:cs="Arial"/>
        </w:rPr>
        <w:t>Le Client, confie au Stockeur, qui accepte, l</w:t>
      </w:r>
      <w:r w:rsidR="004241DF">
        <w:rPr>
          <w:rFonts w:cs="Arial"/>
        </w:rPr>
        <w:t>es</w:t>
      </w:r>
      <w:r>
        <w:rPr>
          <w:rFonts w:cs="Arial"/>
        </w:rPr>
        <w:t xml:space="preserve"> Prestation</w:t>
      </w:r>
      <w:r w:rsidR="004241DF">
        <w:rPr>
          <w:rFonts w:cs="Arial"/>
        </w:rPr>
        <w:t>s</w:t>
      </w:r>
      <w:r>
        <w:rPr>
          <w:rFonts w:cs="Arial"/>
        </w:rPr>
        <w:t xml:space="preserve"> objet du Contrat :</w:t>
      </w:r>
    </w:p>
    <w:p w14:paraId="7DF2840B" w14:textId="500B0DA5" w:rsidR="008E66D2" w:rsidRPr="008E66D2" w:rsidRDefault="008E66D2" w:rsidP="000243CB">
      <w:pPr>
        <w:pStyle w:val="Paragraphedeliste"/>
        <w:numPr>
          <w:ilvl w:val="0"/>
          <w:numId w:val="33"/>
        </w:numPr>
        <w:jc w:val="both"/>
        <w:rPr>
          <w:rFonts w:cs="Arial"/>
        </w:rPr>
      </w:pPr>
      <w:r>
        <w:rPr>
          <w:rFonts w:cs="Arial"/>
        </w:rPr>
        <w:t>La mise à disposition du Client par le Stockeur du stock d’énergie de l’Installation de stockage</w:t>
      </w:r>
    </w:p>
    <w:p w14:paraId="2EC51844" w14:textId="77777777" w:rsidR="00796CBF" w:rsidRDefault="00796CBF" w:rsidP="00585248">
      <w:pPr>
        <w:jc w:val="both"/>
        <w:rPr>
          <w:rFonts w:cs="Arial"/>
        </w:rPr>
      </w:pPr>
    </w:p>
    <w:p w14:paraId="7677A080" w14:textId="19B877A7" w:rsidR="00DE7509" w:rsidRPr="00DA2F93" w:rsidRDefault="007C0468" w:rsidP="00585248">
      <w:pPr>
        <w:jc w:val="both"/>
        <w:rPr>
          <w:rFonts w:cs="Arial"/>
          <w:bCs/>
        </w:rPr>
      </w:pPr>
      <w:r w:rsidRPr="00DA2F93">
        <w:rPr>
          <w:rFonts w:cs="Arial"/>
        </w:rPr>
        <w:t xml:space="preserve">Le présent </w:t>
      </w:r>
      <w:r w:rsidR="00A129DB">
        <w:rPr>
          <w:rFonts w:cs="Arial"/>
        </w:rPr>
        <w:t>C</w:t>
      </w:r>
      <w:r w:rsidR="00A129DB" w:rsidRPr="00DA2F93">
        <w:rPr>
          <w:rFonts w:cs="Arial"/>
        </w:rPr>
        <w:t xml:space="preserve">ontrat </w:t>
      </w:r>
      <w:r w:rsidRPr="00DA2F93">
        <w:rPr>
          <w:rFonts w:cs="Arial"/>
        </w:rPr>
        <w:t xml:space="preserve">précise les conditions techniques et </w:t>
      </w:r>
      <w:r w:rsidR="00453EB5" w:rsidRPr="00DA2F93">
        <w:rPr>
          <w:rFonts w:cs="Arial"/>
        </w:rPr>
        <w:t xml:space="preserve">financières </w:t>
      </w:r>
      <w:r w:rsidR="00EB6187">
        <w:rPr>
          <w:rFonts w:cs="Arial"/>
        </w:rPr>
        <w:t>des</w:t>
      </w:r>
      <w:r w:rsidR="008E66D2" w:rsidRPr="008E66D2">
        <w:rPr>
          <w:rFonts w:cs="Arial"/>
        </w:rPr>
        <w:t xml:space="preserve"> </w:t>
      </w:r>
      <w:r w:rsidR="008E66D2">
        <w:rPr>
          <w:rFonts w:cs="Arial"/>
        </w:rPr>
        <w:t>Prestation</w:t>
      </w:r>
      <w:r w:rsidR="00EB6187">
        <w:rPr>
          <w:rFonts w:cs="Arial"/>
        </w:rPr>
        <w:t>s</w:t>
      </w:r>
      <w:r w:rsidR="007D3D6E" w:rsidRPr="00DA2F93">
        <w:rPr>
          <w:rFonts w:cs="Arial"/>
          <w:bCs/>
        </w:rPr>
        <w:t>.</w:t>
      </w:r>
    </w:p>
    <w:p w14:paraId="6655584B" w14:textId="0CD5EE4C" w:rsidR="00585248" w:rsidRPr="00DA2F93" w:rsidRDefault="007D3D6E" w:rsidP="00585248">
      <w:pPr>
        <w:jc w:val="both"/>
        <w:rPr>
          <w:rFonts w:cs="Arial"/>
          <w:bCs/>
        </w:rPr>
      </w:pPr>
      <w:r w:rsidRPr="00DA2F93">
        <w:rPr>
          <w:rFonts w:cs="Arial"/>
          <w:bCs/>
        </w:rPr>
        <w:t>Il précise</w:t>
      </w:r>
      <w:r w:rsidR="00043E27" w:rsidRPr="00DA2F93">
        <w:rPr>
          <w:rFonts w:cs="Arial"/>
          <w:bCs/>
        </w:rPr>
        <w:t xml:space="preserve"> </w:t>
      </w:r>
      <w:r w:rsidR="00A1067F">
        <w:rPr>
          <w:rFonts w:cs="Arial"/>
          <w:bCs/>
        </w:rPr>
        <w:t xml:space="preserve">également </w:t>
      </w:r>
      <w:r w:rsidR="00043E27" w:rsidRPr="00DA2F93">
        <w:rPr>
          <w:rFonts w:cs="Arial"/>
          <w:bCs/>
        </w:rPr>
        <w:t xml:space="preserve">les conditions techniques et </w:t>
      </w:r>
      <w:r w:rsidR="00453EB5" w:rsidRPr="00DA2F93">
        <w:rPr>
          <w:rFonts w:cs="Arial"/>
          <w:bCs/>
        </w:rPr>
        <w:t xml:space="preserve">financières </w:t>
      </w:r>
      <w:r w:rsidR="00EB6187">
        <w:rPr>
          <w:rFonts w:cs="Arial"/>
          <w:bCs/>
        </w:rPr>
        <w:t>des</w:t>
      </w:r>
      <w:r w:rsidR="00796CBF">
        <w:rPr>
          <w:rFonts w:cs="Arial"/>
        </w:rPr>
        <w:t xml:space="preserve"> </w:t>
      </w:r>
      <w:r w:rsidR="008E66D2">
        <w:rPr>
          <w:rFonts w:cs="Arial"/>
        </w:rPr>
        <w:t>Prestation</w:t>
      </w:r>
      <w:r w:rsidR="00EB6187">
        <w:rPr>
          <w:rFonts w:cs="Arial"/>
        </w:rPr>
        <w:t>s</w:t>
      </w:r>
      <w:r w:rsidR="00043E27" w:rsidRPr="00DA2F93">
        <w:rPr>
          <w:rFonts w:cs="Arial"/>
          <w:bCs/>
        </w:rPr>
        <w:t xml:space="preserve"> pendant les phases d’essais de l’Installation, demandées par le </w:t>
      </w:r>
      <w:r w:rsidR="00554628" w:rsidRPr="00DA2F93">
        <w:rPr>
          <w:rFonts w:cs="Arial"/>
          <w:bCs/>
        </w:rPr>
        <w:t>Stockeur</w:t>
      </w:r>
      <w:r w:rsidR="00043E27" w:rsidRPr="00DA2F93">
        <w:rPr>
          <w:rFonts w:cs="Arial"/>
          <w:bCs/>
        </w:rPr>
        <w:t xml:space="preserve">, que ce soit avant ou après la Mise en Service </w:t>
      </w:r>
      <w:r w:rsidR="00F71BC8">
        <w:rPr>
          <w:rFonts w:cs="Arial"/>
          <w:bCs/>
        </w:rPr>
        <w:t>Industrielle</w:t>
      </w:r>
      <w:r w:rsidR="00043E27" w:rsidRPr="00DA2F93">
        <w:rPr>
          <w:rFonts w:cs="Arial"/>
          <w:bCs/>
        </w:rPr>
        <w:t xml:space="preserve"> de l’Installation.</w:t>
      </w:r>
    </w:p>
    <w:p w14:paraId="73291095" w14:textId="062388C8" w:rsidR="00450F93" w:rsidRPr="00DA2F93" w:rsidRDefault="007D3D6E" w:rsidP="00585248">
      <w:pPr>
        <w:jc w:val="both"/>
        <w:rPr>
          <w:rFonts w:cs="Arial"/>
        </w:rPr>
      </w:pPr>
      <w:r w:rsidRPr="00DA2F93">
        <w:rPr>
          <w:rFonts w:cs="Arial"/>
          <w:bCs/>
        </w:rPr>
        <w:t xml:space="preserve">Le présent </w:t>
      </w:r>
      <w:r w:rsidR="00A129DB">
        <w:rPr>
          <w:rFonts w:cs="Arial"/>
          <w:bCs/>
        </w:rPr>
        <w:t>C</w:t>
      </w:r>
      <w:r w:rsidR="00A129DB" w:rsidRPr="00DA2F93">
        <w:rPr>
          <w:rFonts w:cs="Arial"/>
          <w:bCs/>
        </w:rPr>
        <w:t xml:space="preserve">ontrat </w:t>
      </w:r>
      <w:r w:rsidRPr="00DA2F93">
        <w:rPr>
          <w:rFonts w:cs="Arial"/>
          <w:bCs/>
        </w:rPr>
        <w:t xml:space="preserve">précise </w:t>
      </w:r>
      <w:r w:rsidR="00A1067F">
        <w:rPr>
          <w:rFonts w:cs="Arial"/>
          <w:bCs/>
        </w:rPr>
        <w:t>enfin</w:t>
      </w:r>
      <w:r w:rsidR="00A1067F" w:rsidRPr="00DA2F93">
        <w:rPr>
          <w:rFonts w:cs="Arial"/>
          <w:bCs/>
        </w:rPr>
        <w:t xml:space="preserve"> </w:t>
      </w:r>
      <w:r w:rsidRPr="00DA2F93">
        <w:rPr>
          <w:rFonts w:cs="Arial"/>
          <w:bCs/>
        </w:rPr>
        <w:t>les conditions</w:t>
      </w:r>
      <w:r w:rsidRPr="00DA2F93">
        <w:rPr>
          <w:rFonts w:cs="Arial"/>
        </w:rPr>
        <w:t xml:space="preserve"> techniques et </w:t>
      </w:r>
      <w:r w:rsidR="00453EB5" w:rsidRPr="00DA2F93">
        <w:rPr>
          <w:rFonts w:cs="Arial"/>
        </w:rPr>
        <w:t xml:space="preserve">financières </w:t>
      </w:r>
      <w:r w:rsidR="00C14419" w:rsidRPr="00DA2F93">
        <w:rPr>
          <w:rFonts w:cs="Arial"/>
        </w:rPr>
        <w:t>des coûts variables proportionnels au volume d’électricité soutiré ou injecté par l’Installation</w:t>
      </w:r>
      <w:r w:rsidR="00EC5990" w:rsidRPr="00DA2F93">
        <w:rPr>
          <w:rFonts w:cs="Arial"/>
        </w:rPr>
        <w:t xml:space="preserve"> sur le réseau public de </w:t>
      </w:r>
      <w:r w:rsidR="003A3709">
        <w:rPr>
          <w:rFonts w:cs="Arial"/>
        </w:rPr>
        <w:t>transport</w:t>
      </w:r>
      <w:r w:rsidR="00EC5990" w:rsidRPr="00DA2F93">
        <w:rPr>
          <w:rFonts w:cs="Arial"/>
        </w:rPr>
        <w:t>.</w:t>
      </w:r>
    </w:p>
    <w:p w14:paraId="127DF822" w14:textId="009BA8CE" w:rsidR="00257656" w:rsidRDefault="00257656" w:rsidP="00257656">
      <w:pPr>
        <w:spacing w:before="0" w:after="0"/>
        <w:jc w:val="both"/>
        <w:rPr>
          <w:rFonts w:cs="Arial"/>
          <w:bCs/>
        </w:rPr>
      </w:pPr>
      <w:r>
        <w:rPr>
          <w:rFonts w:cs="Arial"/>
          <w:bCs/>
        </w:rPr>
        <w:t>Par son acceptation du Contrat, le Stockeur reconnait être en possession de toutes les pièces contractuelles et en avoir une parfaite connaissance. Elles expriment l’intégralité de l’accord intervenu entre le Stockeur et le Client.</w:t>
      </w:r>
    </w:p>
    <w:p w14:paraId="7BCA687C" w14:textId="77777777" w:rsidR="006E3E7F" w:rsidRDefault="006E3E7F" w:rsidP="00257656">
      <w:pPr>
        <w:spacing w:before="0" w:after="0"/>
        <w:jc w:val="both"/>
        <w:rPr>
          <w:rFonts w:cs="Arial"/>
          <w:bCs/>
        </w:rPr>
      </w:pPr>
    </w:p>
    <w:p w14:paraId="05A4F8F6" w14:textId="68EE7404" w:rsidR="00257656" w:rsidRDefault="00257656" w:rsidP="00257656">
      <w:pPr>
        <w:spacing w:before="0" w:after="0"/>
        <w:jc w:val="both"/>
        <w:rPr>
          <w:rFonts w:cs="Arial"/>
          <w:bCs/>
        </w:rPr>
      </w:pPr>
      <w:r>
        <w:rPr>
          <w:rFonts w:cs="Arial"/>
          <w:bCs/>
        </w:rPr>
        <w:t>Les pièces constitutives du Contrat sont les suivantes, citées par ordre de priorité décroissante.</w:t>
      </w:r>
    </w:p>
    <w:p w14:paraId="24EFA938" w14:textId="77777777" w:rsidR="00257656" w:rsidRDefault="00257656" w:rsidP="00257656">
      <w:pPr>
        <w:spacing w:before="0" w:after="0"/>
        <w:jc w:val="both"/>
        <w:rPr>
          <w:rFonts w:cs="Arial"/>
          <w:bCs/>
        </w:rPr>
      </w:pPr>
    </w:p>
    <w:p w14:paraId="193B977F" w14:textId="77777777" w:rsidR="00257656" w:rsidRDefault="00257656" w:rsidP="00257656">
      <w:pPr>
        <w:pStyle w:val="Paragraphedeliste"/>
        <w:numPr>
          <w:ilvl w:val="0"/>
          <w:numId w:val="29"/>
        </w:numPr>
        <w:spacing w:before="0" w:after="0"/>
        <w:jc w:val="both"/>
        <w:rPr>
          <w:rFonts w:cs="Arial"/>
          <w:bCs/>
        </w:rPr>
      </w:pPr>
      <w:r>
        <w:rPr>
          <w:rFonts w:cs="Arial"/>
          <w:bCs/>
        </w:rPr>
        <w:t>Présent Contrat</w:t>
      </w:r>
    </w:p>
    <w:p w14:paraId="1D1043E4" w14:textId="1F0E06F3" w:rsidR="00257656" w:rsidRDefault="00257656" w:rsidP="00257656">
      <w:pPr>
        <w:pStyle w:val="Paragraphedeliste"/>
        <w:numPr>
          <w:ilvl w:val="0"/>
          <w:numId w:val="29"/>
        </w:numPr>
        <w:spacing w:before="0" w:after="0"/>
        <w:jc w:val="both"/>
        <w:rPr>
          <w:rFonts w:cs="Arial"/>
          <w:bCs/>
        </w:rPr>
      </w:pPr>
      <w:r>
        <w:rPr>
          <w:rFonts w:cs="Arial"/>
          <w:bCs/>
        </w:rPr>
        <w:t xml:space="preserve">Convention </w:t>
      </w:r>
      <w:r w:rsidR="00C02B9A">
        <w:rPr>
          <w:rFonts w:cs="Arial"/>
          <w:bCs/>
        </w:rPr>
        <w:t>de raccordement et d’exploitation</w:t>
      </w:r>
    </w:p>
    <w:p w14:paraId="782D68AC" w14:textId="2D4442F0" w:rsidR="00E93CE3" w:rsidRDefault="00E93CE3" w:rsidP="00257656">
      <w:pPr>
        <w:pStyle w:val="Paragraphedeliste"/>
        <w:numPr>
          <w:ilvl w:val="0"/>
          <w:numId w:val="29"/>
        </w:numPr>
        <w:spacing w:before="0" w:after="0"/>
        <w:jc w:val="both"/>
        <w:rPr>
          <w:rFonts w:cs="Arial"/>
          <w:bCs/>
        </w:rPr>
      </w:pPr>
      <w:r>
        <w:rPr>
          <w:rFonts w:cs="Arial"/>
          <w:bCs/>
        </w:rPr>
        <w:t>CCTP</w:t>
      </w:r>
    </w:p>
    <w:p w14:paraId="14548A13" w14:textId="77777777" w:rsidR="00B4190E" w:rsidRDefault="00B4190E" w:rsidP="000548E3">
      <w:pPr>
        <w:widowControl w:val="0"/>
        <w:autoSpaceDE w:val="0"/>
        <w:autoSpaceDN w:val="0"/>
        <w:adjustRightInd w:val="0"/>
        <w:jc w:val="both"/>
        <w:rPr>
          <w:rFonts w:cs="Arial"/>
        </w:rPr>
      </w:pPr>
    </w:p>
    <w:p w14:paraId="21C158A4" w14:textId="59C4E12A" w:rsidR="00B4190E" w:rsidRDefault="00B4190E" w:rsidP="00B4190E">
      <w:pPr>
        <w:widowControl w:val="0"/>
        <w:autoSpaceDE w:val="0"/>
        <w:autoSpaceDN w:val="0"/>
        <w:adjustRightInd w:val="0"/>
        <w:jc w:val="both"/>
        <w:rPr>
          <w:rFonts w:cs="Arial"/>
          <w:bCs/>
        </w:rPr>
      </w:pPr>
      <w:r>
        <w:rPr>
          <w:rFonts w:cs="Arial"/>
          <w:bCs/>
        </w:rPr>
        <w:t>Toute modification du Contrat à compter de la date de son entrée en vigueur doit être effectuée au moyen d’un avenant signé par les deux (2) Parties. Cet avenant aura le rang de la pièce constitutive du Contrat qu’il complète ou amende.</w:t>
      </w:r>
    </w:p>
    <w:p w14:paraId="439FD39D" w14:textId="77777777" w:rsidR="008E4D2B" w:rsidRPr="00DA2F93" w:rsidRDefault="008E4D2B" w:rsidP="008E4D2B">
      <w:pPr>
        <w:widowControl w:val="0"/>
        <w:tabs>
          <w:tab w:val="left" w:pos="204"/>
        </w:tabs>
        <w:autoSpaceDE w:val="0"/>
        <w:autoSpaceDN w:val="0"/>
        <w:adjustRightInd w:val="0"/>
        <w:jc w:val="both"/>
      </w:pPr>
    </w:p>
    <w:p w14:paraId="65860B05" w14:textId="77777777" w:rsidR="008E4D2B" w:rsidRPr="00DA2F93" w:rsidRDefault="008E4D2B" w:rsidP="008E4D2B">
      <w:pPr>
        <w:pStyle w:val="EDFTitre1"/>
        <w:jc w:val="both"/>
      </w:pPr>
      <w:bookmarkStart w:id="11" w:name="_Toc108113908"/>
      <w:bookmarkStart w:id="12" w:name="_Toc110436442"/>
      <w:r w:rsidRPr="00DA2F93">
        <w:t>Définitions</w:t>
      </w:r>
      <w:bookmarkEnd w:id="11"/>
      <w:bookmarkEnd w:id="12"/>
    </w:p>
    <w:tbl>
      <w:tblPr>
        <w:tblStyle w:val="Grilledutableau"/>
        <w:tblW w:w="0" w:type="auto"/>
        <w:tblLook w:val="04A0" w:firstRow="1" w:lastRow="0" w:firstColumn="1" w:lastColumn="0" w:noHBand="0" w:noVBand="1"/>
      </w:tblPr>
      <w:tblGrid>
        <w:gridCol w:w="2675"/>
        <w:gridCol w:w="7293"/>
      </w:tblGrid>
      <w:tr w:rsidR="0076083D" w:rsidRPr="00DA2F93" w14:paraId="10178B7F" w14:textId="77777777" w:rsidTr="001E4AE7">
        <w:tc>
          <w:tcPr>
            <w:tcW w:w="2675" w:type="dxa"/>
          </w:tcPr>
          <w:p w14:paraId="6261A89D" w14:textId="77777777" w:rsidR="008E4D2B" w:rsidRPr="00DA2F93" w:rsidRDefault="008E4D2B" w:rsidP="001E4AE7">
            <w:pPr>
              <w:widowControl w:val="0"/>
              <w:tabs>
                <w:tab w:val="left" w:pos="12333"/>
              </w:tabs>
              <w:autoSpaceDE w:val="0"/>
              <w:autoSpaceDN w:val="0"/>
              <w:adjustRightInd w:val="0"/>
              <w:spacing w:before="0" w:after="0"/>
              <w:jc w:val="both"/>
              <w:rPr>
                <w:b/>
              </w:rPr>
            </w:pPr>
            <w:r w:rsidRPr="00DA2F93">
              <w:rPr>
                <w:b/>
              </w:rPr>
              <w:t>Puissance</w:t>
            </w:r>
          </w:p>
        </w:tc>
        <w:tc>
          <w:tcPr>
            <w:tcW w:w="7293" w:type="dxa"/>
          </w:tcPr>
          <w:p w14:paraId="578E7B28" w14:textId="77777777" w:rsidR="008E4D2B" w:rsidRPr="00DA2F93" w:rsidRDefault="008E4D2B" w:rsidP="001E4AE7">
            <w:pPr>
              <w:widowControl w:val="0"/>
              <w:tabs>
                <w:tab w:val="left" w:pos="12333"/>
              </w:tabs>
              <w:autoSpaceDE w:val="0"/>
              <w:autoSpaceDN w:val="0"/>
              <w:adjustRightInd w:val="0"/>
              <w:spacing w:before="0" w:after="0"/>
              <w:jc w:val="both"/>
              <w:rPr>
                <w:b/>
              </w:rPr>
            </w:pPr>
            <w:r w:rsidRPr="00DA2F93">
              <w:rPr>
                <w:b/>
              </w:rPr>
              <w:t>Toujours en MW</w:t>
            </w:r>
          </w:p>
        </w:tc>
      </w:tr>
      <w:tr w:rsidR="0076083D" w:rsidRPr="00DA2F93" w14:paraId="55ECB904" w14:textId="77777777" w:rsidTr="001E4AE7">
        <w:tc>
          <w:tcPr>
            <w:tcW w:w="2675" w:type="dxa"/>
            <w:vAlign w:val="center"/>
          </w:tcPr>
          <w:p w14:paraId="2AEF518E" w14:textId="77777777" w:rsidR="008E4D2B" w:rsidRPr="00DA2F93" w:rsidRDefault="008E4D2B" w:rsidP="001E4AE7">
            <w:pPr>
              <w:spacing w:before="0" w:after="0"/>
              <w:jc w:val="both"/>
              <w:rPr>
                <w:b/>
              </w:rPr>
            </w:pPr>
            <w:r w:rsidRPr="00DA2F93">
              <w:rPr>
                <w:b/>
              </w:rPr>
              <w:t>Indicateurs</w:t>
            </w:r>
          </w:p>
        </w:tc>
        <w:tc>
          <w:tcPr>
            <w:tcW w:w="7293" w:type="dxa"/>
            <w:vAlign w:val="center"/>
          </w:tcPr>
          <w:p w14:paraId="3A186BCF" w14:textId="77777777" w:rsidR="008E4D2B" w:rsidRPr="00DA2F93" w:rsidRDefault="008E4D2B" w:rsidP="001E4AE7">
            <w:pPr>
              <w:spacing w:before="0" w:after="0"/>
              <w:jc w:val="both"/>
              <w:rPr>
                <w:b/>
              </w:rPr>
            </w:pPr>
          </w:p>
        </w:tc>
      </w:tr>
      <w:tr w:rsidR="0076083D" w:rsidRPr="00DA2F93" w14:paraId="3589C45C" w14:textId="77777777" w:rsidTr="001E4AE7">
        <w:tc>
          <w:tcPr>
            <w:tcW w:w="2675" w:type="dxa"/>
            <w:vAlign w:val="center"/>
          </w:tcPr>
          <w:p w14:paraId="7582BFF7" w14:textId="77777777" w:rsidR="008E4D2B" w:rsidRPr="00DA2F93" w:rsidRDefault="008E4D2B" w:rsidP="001E4AE7">
            <w:pPr>
              <w:spacing w:before="0" w:after="0"/>
              <w:jc w:val="both"/>
            </w:pPr>
            <w:r w:rsidRPr="00DA2F93">
              <w:t>MUP</w:t>
            </w:r>
          </w:p>
        </w:tc>
        <w:tc>
          <w:tcPr>
            <w:tcW w:w="7293" w:type="dxa"/>
            <w:vAlign w:val="center"/>
          </w:tcPr>
          <w:p w14:paraId="340B6E0D" w14:textId="77777777" w:rsidR="008E4D2B" w:rsidRPr="00DA2F93" w:rsidRDefault="008E4D2B" w:rsidP="001E4AE7">
            <w:pPr>
              <w:spacing w:before="0" w:after="0"/>
              <w:jc w:val="both"/>
            </w:pPr>
            <w:r w:rsidRPr="00DA2F93">
              <w:t>Montant Unitaire pour le calcul des Pénalités (</w:t>
            </w:r>
            <w:r>
              <w:t>F CFP</w:t>
            </w:r>
            <w:r w:rsidRPr="00DA2F93">
              <w:t>/</w:t>
            </w:r>
            <w:proofErr w:type="spellStart"/>
            <w:r w:rsidRPr="00DA2F93">
              <w:t>MWh</w:t>
            </w:r>
            <w:proofErr w:type="spellEnd"/>
            <w:r w:rsidRPr="00DA2F93">
              <w:t>)</w:t>
            </w:r>
          </w:p>
        </w:tc>
      </w:tr>
      <w:tr w:rsidR="0076083D" w:rsidRPr="00DA2F93" w14:paraId="6DB60D47" w14:textId="77777777" w:rsidTr="001E4AE7">
        <w:tc>
          <w:tcPr>
            <w:tcW w:w="2675" w:type="dxa"/>
            <w:vAlign w:val="center"/>
          </w:tcPr>
          <w:p w14:paraId="013EDCE2" w14:textId="77777777" w:rsidR="008E4D2B" w:rsidRPr="00DA2F93" w:rsidRDefault="008E4D2B" w:rsidP="001E4AE7">
            <w:pPr>
              <w:spacing w:before="0" w:after="0"/>
              <w:jc w:val="both"/>
            </w:pPr>
            <w:proofErr w:type="spellStart"/>
            <w:r w:rsidRPr="00DA2F93">
              <w:t>Kd</w:t>
            </w:r>
            <w:proofErr w:type="spellEnd"/>
          </w:p>
        </w:tc>
        <w:tc>
          <w:tcPr>
            <w:tcW w:w="7293" w:type="dxa"/>
            <w:vAlign w:val="center"/>
          </w:tcPr>
          <w:p w14:paraId="63AC8D4F" w14:textId="77777777" w:rsidR="008E4D2B" w:rsidRPr="00DA2F93" w:rsidRDefault="008E4D2B" w:rsidP="001E4AE7">
            <w:pPr>
              <w:spacing w:before="0" w:after="0"/>
              <w:jc w:val="both"/>
            </w:pPr>
            <w:r w:rsidRPr="00DA2F93">
              <w:t>Taux de disponibilité effective (en pourcentage d’heures annuelles).</w:t>
            </w:r>
          </w:p>
        </w:tc>
      </w:tr>
      <w:tr w:rsidR="0076083D" w:rsidRPr="00DA2F93" w14:paraId="1B1D4D4A" w14:textId="77777777" w:rsidTr="001E4AE7">
        <w:tc>
          <w:tcPr>
            <w:tcW w:w="2675" w:type="dxa"/>
            <w:vAlign w:val="center"/>
          </w:tcPr>
          <w:p w14:paraId="1B5E9845" w14:textId="77777777" w:rsidR="008E4D2B" w:rsidRPr="00DA2F93" w:rsidRDefault="008E4D2B" w:rsidP="001E4AE7">
            <w:pPr>
              <w:spacing w:before="0" w:after="0"/>
              <w:jc w:val="both"/>
            </w:pPr>
            <w:r w:rsidRPr="00DA2F93">
              <w:t>IA</w:t>
            </w:r>
          </w:p>
        </w:tc>
        <w:tc>
          <w:tcPr>
            <w:tcW w:w="7293" w:type="dxa"/>
            <w:vAlign w:val="center"/>
          </w:tcPr>
          <w:p w14:paraId="17044D7C" w14:textId="77777777" w:rsidR="008E4D2B" w:rsidRPr="00DA2F93" w:rsidRDefault="008E4D2B" w:rsidP="001E4AE7">
            <w:pPr>
              <w:spacing w:before="0" w:after="0"/>
              <w:jc w:val="both"/>
            </w:pPr>
            <w:r w:rsidRPr="00DA2F93">
              <w:t>Indisponibilité Annoncée</w:t>
            </w:r>
          </w:p>
        </w:tc>
      </w:tr>
      <w:tr w:rsidR="0076083D" w:rsidRPr="00DA2F93" w14:paraId="082F630E" w14:textId="77777777" w:rsidTr="001E4AE7">
        <w:tc>
          <w:tcPr>
            <w:tcW w:w="2675" w:type="dxa"/>
            <w:vAlign w:val="center"/>
          </w:tcPr>
          <w:p w14:paraId="4E2ACF0C" w14:textId="77777777" w:rsidR="008E4D2B" w:rsidRPr="00DA2F93" w:rsidRDefault="008E4D2B" w:rsidP="001E4AE7">
            <w:pPr>
              <w:spacing w:before="0" w:after="0"/>
              <w:jc w:val="both"/>
            </w:pPr>
            <w:r w:rsidRPr="00DA2F93">
              <w:t>TPS</w:t>
            </w:r>
          </w:p>
        </w:tc>
        <w:tc>
          <w:tcPr>
            <w:tcW w:w="7293" w:type="dxa"/>
            <w:vAlign w:val="center"/>
          </w:tcPr>
          <w:p w14:paraId="5B55DDEB" w14:textId="77777777" w:rsidR="008E4D2B" w:rsidRPr="00DA2F93" w:rsidRDefault="008E4D2B" w:rsidP="001E4AE7">
            <w:pPr>
              <w:spacing w:before="0" w:after="0"/>
              <w:jc w:val="both"/>
            </w:pPr>
            <w:r w:rsidRPr="00DA2F93">
              <w:t>Tenue en Puissance Spécifiée</w:t>
            </w:r>
          </w:p>
        </w:tc>
      </w:tr>
      <w:tr w:rsidR="0076083D" w:rsidRPr="00DA2F93" w14:paraId="65432694" w14:textId="77777777" w:rsidTr="001E4AE7">
        <w:tc>
          <w:tcPr>
            <w:tcW w:w="2675" w:type="dxa"/>
            <w:vAlign w:val="center"/>
          </w:tcPr>
          <w:p w14:paraId="1CF7CC08" w14:textId="77777777" w:rsidR="008E4D2B" w:rsidRPr="00DA2F93" w:rsidRDefault="008E4D2B" w:rsidP="001E4AE7">
            <w:pPr>
              <w:spacing w:before="0" w:after="0"/>
              <w:jc w:val="both"/>
            </w:pPr>
            <w:r w:rsidRPr="00DA2F93">
              <w:t>KQ</w:t>
            </w:r>
          </w:p>
        </w:tc>
        <w:tc>
          <w:tcPr>
            <w:tcW w:w="7293" w:type="dxa"/>
            <w:vAlign w:val="center"/>
          </w:tcPr>
          <w:p w14:paraId="695B0E5E" w14:textId="77777777" w:rsidR="008E4D2B" w:rsidRPr="00DA2F93" w:rsidRDefault="008E4D2B" w:rsidP="001E4AE7">
            <w:pPr>
              <w:spacing w:before="0" w:after="0"/>
              <w:jc w:val="both"/>
            </w:pPr>
            <w:r w:rsidRPr="00DA2F93">
              <w:t>Déclenchement</w:t>
            </w:r>
          </w:p>
        </w:tc>
      </w:tr>
      <w:tr w:rsidR="0076083D" w:rsidRPr="00DA2F93" w14:paraId="135D49BF" w14:textId="77777777" w:rsidTr="001E4AE7">
        <w:tc>
          <w:tcPr>
            <w:tcW w:w="2675" w:type="dxa"/>
            <w:vAlign w:val="center"/>
          </w:tcPr>
          <w:p w14:paraId="5C2BF453" w14:textId="34C23320" w:rsidR="008E4D2B" w:rsidRPr="00DA2F93" w:rsidRDefault="006E7CE2" w:rsidP="001E4AE7">
            <w:pPr>
              <w:spacing w:before="0" w:after="0"/>
              <w:jc w:val="both"/>
            </w:pPr>
            <w:r>
              <w:t>PEE</w:t>
            </w:r>
          </w:p>
        </w:tc>
        <w:tc>
          <w:tcPr>
            <w:tcW w:w="7293" w:type="dxa"/>
            <w:vAlign w:val="center"/>
          </w:tcPr>
          <w:p w14:paraId="1D48F7F6" w14:textId="0B8772C5" w:rsidR="008E4D2B" w:rsidRPr="00DA2F93" w:rsidRDefault="006E7CE2" w:rsidP="001E4AE7">
            <w:pPr>
              <w:spacing w:before="0" w:after="0"/>
              <w:jc w:val="both"/>
            </w:pPr>
            <w:r>
              <w:t>Perte d’énergie excessive</w:t>
            </w:r>
          </w:p>
        </w:tc>
      </w:tr>
      <w:tr w:rsidR="0076083D" w:rsidRPr="00DA2F93" w14:paraId="60EFB137" w14:textId="77777777" w:rsidTr="001E4AE7">
        <w:tc>
          <w:tcPr>
            <w:tcW w:w="2675" w:type="dxa"/>
            <w:vAlign w:val="center"/>
          </w:tcPr>
          <w:p w14:paraId="7CE2F2C2" w14:textId="77777777" w:rsidR="008E4D2B" w:rsidRPr="00DA2F93" w:rsidRDefault="008E4D2B" w:rsidP="001E4AE7">
            <w:pPr>
              <w:spacing w:before="0" w:after="0"/>
              <w:jc w:val="both"/>
            </w:pPr>
            <w:r w:rsidRPr="00DA2F93">
              <w:t>TRP</w:t>
            </w:r>
          </w:p>
        </w:tc>
        <w:tc>
          <w:tcPr>
            <w:tcW w:w="7293" w:type="dxa"/>
            <w:vAlign w:val="center"/>
          </w:tcPr>
          <w:p w14:paraId="2987FC88" w14:textId="247157DB" w:rsidR="008E4D2B" w:rsidRPr="00DA2F93" w:rsidRDefault="008E4D2B" w:rsidP="001E4AE7">
            <w:pPr>
              <w:spacing w:before="0" w:after="0"/>
              <w:jc w:val="both"/>
            </w:pPr>
            <w:r w:rsidRPr="00DA2F93">
              <w:t>Temps de Réponse excédant le Plafond contractuel</w:t>
            </w:r>
          </w:p>
        </w:tc>
      </w:tr>
      <w:tr w:rsidR="0076083D" w:rsidRPr="00DA2F93" w14:paraId="5309DFDB" w14:textId="77777777" w:rsidTr="001E4AE7">
        <w:tc>
          <w:tcPr>
            <w:tcW w:w="2675" w:type="dxa"/>
            <w:vAlign w:val="center"/>
          </w:tcPr>
          <w:p w14:paraId="0FE8FBA6" w14:textId="47412475" w:rsidR="008E4D2B" w:rsidRPr="00DA2F93" w:rsidRDefault="006E7CE2" w:rsidP="001E4AE7">
            <w:pPr>
              <w:spacing w:before="0" w:after="0"/>
              <w:jc w:val="both"/>
            </w:pPr>
            <w:r>
              <w:t>ERT</w:t>
            </w:r>
          </w:p>
        </w:tc>
        <w:tc>
          <w:tcPr>
            <w:tcW w:w="7293" w:type="dxa"/>
            <w:vAlign w:val="center"/>
          </w:tcPr>
          <w:p w14:paraId="780AD7E8" w14:textId="29D4261A" w:rsidR="008E4D2B" w:rsidRPr="00DA2F93" w:rsidRDefault="006E7CE2" w:rsidP="001E4AE7">
            <w:pPr>
              <w:spacing w:before="0" w:after="0"/>
              <w:jc w:val="both"/>
            </w:pPr>
            <w:r>
              <w:t>Echec du Renvoi de Tension</w:t>
            </w:r>
          </w:p>
        </w:tc>
      </w:tr>
      <w:tr w:rsidR="0076083D" w:rsidRPr="00DA2F93" w14:paraId="20325C21" w14:textId="77777777" w:rsidTr="001E4AE7">
        <w:tc>
          <w:tcPr>
            <w:tcW w:w="2675" w:type="dxa"/>
            <w:vAlign w:val="center"/>
          </w:tcPr>
          <w:p w14:paraId="52F2DBC7" w14:textId="77777777" w:rsidR="008E4D2B" w:rsidRPr="00DA2F93" w:rsidRDefault="008E4D2B" w:rsidP="001E4AE7">
            <w:pPr>
              <w:spacing w:before="0" w:after="0"/>
              <w:jc w:val="both"/>
              <w:rPr>
                <w:b/>
              </w:rPr>
            </w:pPr>
            <w:r w:rsidRPr="00DA2F93">
              <w:rPr>
                <w:b/>
              </w:rPr>
              <w:t>Contrats</w:t>
            </w:r>
          </w:p>
        </w:tc>
        <w:tc>
          <w:tcPr>
            <w:tcW w:w="7293" w:type="dxa"/>
            <w:vAlign w:val="center"/>
          </w:tcPr>
          <w:p w14:paraId="49E63955" w14:textId="77777777" w:rsidR="008E4D2B" w:rsidRPr="00DA2F93" w:rsidRDefault="008E4D2B" w:rsidP="001E4AE7">
            <w:pPr>
              <w:spacing w:before="0" w:after="0"/>
              <w:jc w:val="both"/>
              <w:rPr>
                <w:b/>
              </w:rPr>
            </w:pPr>
          </w:p>
        </w:tc>
      </w:tr>
      <w:tr w:rsidR="0076083D" w:rsidRPr="00DA2F93" w14:paraId="1D41129A" w14:textId="77777777" w:rsidTr="001E4AE7">
        <w:tc>
          <w:tcPr>
            <w:tcW w:w="2675" w:type="dxa"/>
            <w:vAlign w:val="center"/>
          </w:tcPr>
          <w:p w14:paraId="47052731" w14:textId="77777777" w:rsidR="008E4D2B" w:rsidRPr="00DA2F93" w:rsidRDefault="008E4D2B" w:rsidP="001E4AE7">
            <w:pPr>
              <w:spacing w:before="0" w:after="0"/>
              <w:jc w:val="both"/>
            </w:pPr>
            <w:r w:rsidRPr="00DA2F93">
              <w:t>Contrat</w:t>
            </w:r>
          </w:p>
        </w:tc>
        <w:tc>
          <w:tcPr>
            <w:tcW w:w="7293" w:type="dxa"/>
            <w:vAlign w:val="center"/>
          </w:tcPr>
          <w:p w14:paraId="2BBD6E66" w14:textId="77777777" w:rsidR="008E4D2B" w:rsidRPr="00DA2F93" w:rsidRDefault="008E4D2B" w:rsidP="001E4AE7">
            <w:pPr>
              <w:spacing w:before="0" w:after="0"/>
              <w:jc w:val="both"/>
            </w:pPr>
            <w:r>
              <w:rPr>
                <w:rFonts w:cs="Arial"/>
                <w:iCs/>
              </w:rPr>
              <w:t>Désigne</w:t>
            </w:r>
            <w:r w:rsidRPr="00DA2F93">
              <w:rPr>
                <w:rFonts w:cs="Arial"/>
                <w:iCs/>
              </w:rPr>
              <w:t xml:space="preserve"> le présent contrat</w:t>
            </w:r>
          </w:p>
        </w:tc>
      </w:tr>
      <w:tr w:rsidR="0076083D" w:rsidRPr="00DA2F93" w14:paraId="6F9A4F0A" w14:textId="77777777" w:rsidTr="001E4AE7">
        <w:tc>
          <w:tcPr>
            <w:tcW w:w="2675" w:type="dxa"/>
            <w:vAlign w:val="center"/>
          </w:tcPr>
          <w:p w14:paraId="647365BA" w14:textId="77777777" w:rsidR="008E4D2B" w:rsidRPr="00DA2F93" w:rsidDel="00502B79" w:rsidRDefault="008E4D2B" w:rsidP="001E4AE7">
            <w:pPr>
              <w:spacing w:before="0" w:after="0"/>
              <w:jc w:val="both"/>
            </w:pPr>
            <w:r>
              <w:t>CCTP</w:t>
            </w:r>
          </w:p>
        </w:tc>
        <w:tc>
          <w:tcPr>
            <w:tcW w:w="7293" w:type="dxa"/>
            <w:vAlign w:val="center"/>
          </w:tcPr>
          <w:p w14:paraId="3A126ADC" w14:textId="421D39E2" w:rsidR="008E4D2B" w:rsidRDefault="008E4D2B" w:rsidP="001E4AE7">
            <w:pPr>
              <w:spacing w:before="0" w:after="0"/>
              <w:jc w:val="both"/>
            </w:pPr>
            <w:r>
              <w:t>Cahier des Clauses Techniques Particulières</w:t>
            </w:r>
            <w:r w:rsidR="00903DD5">
              <w:t xml:space="preserve"> et ses annexes</w:t>
            </w:r>
          </w:p>
        </w:tc>
      </w:tr>
      <w:tr w:rsidR="0076083D" w:rsidRPr="00DA2F93" w14:paraId="43978F8B" w14:textId="77777777" w:rsidTr="001E4AE7">
        <w:tc>
          <w:tcPr>
            <w:tcW w:w="2675" w:type="dxa"/>
            <w:vAlign w:val="center"/>
          </w:tcPr>
          <w:p w14:paraId="0DD719AA" w14:textId="77777777" w:rsidR="008E4D2B" w:rsidRPr="00DA2F93" w:rsidRDefault="008E4D2B" w:rsidP="001E4AE7">
            <w:pPr>
              <w:spacing w:before="0" w:after="0"/>
              <w:jc w:val="both"/>
            </w:pPr>
            <w:r>
              <w:t>Convention de Raccordement et d’Exploitation</w:t>
            </w:r>
          </w:p>
        </w:tc>
        <w:tc>
          <w:tcPr>
            <w:tcW w:w="7293" w:type="dxa"/>
            <w:vAlign w:val="center"/>
          </w:tcPr>
          <w:p w14:paraId="100038F2" w14:textId="1FE31E91" w:rsidR="008E4D2B" w:rsidRDefault="008E4D2B" w:rsidP="001E4AE7">
            <w:pPr>
              <w:spacing w:before="0" w:after="0"/>
              <w:jc w:val="both"/>
            </w:pPr>
            <w:r>
              <w:t>Désigne</w:t>
            </w:r>
            <w:r w:rsidRPr="00DA2F93">
              <w:t xml:space="preserve"> les caractéristiques du raccordement au réseau public de </w:t>
            </w:r>
            <w:r>
              <w:t>transport</w:t>
            </w:r>
            <w:r w:rsidRPr="00DA2F93">
              <w:t xml:space="preserve"> de l’Installation du Stockeur (notamment tension de raccordement, propriété des ouvrages, emplacement du point de livraison et du point de comptage)</w:t>
            </w:r>
            <w:r w:rsidR="00E31664">
              <w:t>.</w:t>
            </w:r>
          </w:p>
          <w:p w14:paraId="7358A8E5" w14:textId="77777777" w:rsidR="00E31664" w:rsidRDefault="00E31664" w:rsidP="001E4AE7">
            <w:pPr>
              <w:spacing w:before="0" w:after="0"/>
              <w:jc w:val="both"/>
            </w:pPr>
          </w:p>
          <w:p w14:paraId="73955981" w14:textId="77777777" w:rsidR="008E4D2B" w:rsidRPr="00DA2F93" w:rsidRDefault="008E4D2B" w:rsidP="001E4AE7">
            <w:pPr>
              <w:spacing w:before="0" w:after="0"/>
              <w:jc w:val="both"/>
            </w:pPr>
            <w:r w:rsidRPr="00DA2F93">
              <w:rPr>
                <w:rFonts w:eastAsia="Times New Roman" w:cs="Arial"/>
                <w:lang w:eastAsia="fr-FR"/>
              </w:rPr>
              <w:t xml:space="preserve">Précise les règles nécessaires pour l’exploitation de l’Installation du Stockeur avec les règles d’exploitation du réseau (notamment échanges d’information entre le Stockeur et le gestionnaire du réseau public de </w:t>
            </w:r>
            <w:r>
              <w:rPr>
                <w:rFonts w:eastAsia="Times New Roman" w:cs="Arial"/>
                <w:lang w:eastAsia="fr-FR"/>
              </w:rPr>
              <w:lastRenderedPageBreak/>
              <w:t>transport</w:t>
            </w:r>
            <w:r w:rsidRPr="00DA2F93">
              <w:rPr>
                <w:rFonts w:eastAsia="Times New Roman" w:cs="Arial"/>
                <w:lang w:eastAsia="fr-FR"/>
              </w:rPr>
              <w:t>, règles d’exploitation à observer tant en régime normal de fonctionnement qu’en situation perturbée)</w:t>
            </w:r>
          </w:p>
        </w:tc>
      </w:tr>
      <w:tr w:rsidR="004855F2" w:rsidRPr="00DA2F93" w14:paraId="67C4FFBB" w14:textId="77777777" w:rsidTr="001E4AE7">
        <w:tc>
          <w:tcPr>
            <w:tcW w:w="2675" w:type="dxa"/>
            <w:vAlign w:val="center"/>
          </w:tcPr>
          <w:p w14:paraId="2C37380E" w14:textId="447F014E" w:rsidR="004855F2" w:rsidRDefault="004855F2" w:rsidP="001E4AE7">
            <w:pPr>
              <w:spacing w:before="0" w:after="0"/>
              <w:jc w:val="both"/>
            </w:pPr>
            <w:r>
              <w:lastRenderedPageBreak/>
              <w:t>Fiche de Recueil des Performances</w:t>
            </w:r>
          </w:p>
        </w:tc>
        <w:tc>
          <w:tcPr>
            <w:tcW w:w="7293" w:type="dxa"/>
            <w:vAlign w:val="center"/>
          </w:tcPr>
          <w:p w14:paraId="5D6E33C5" w14:textId="50D48D5B" w:rsidR="004855F2" w:rsidRDefault="004855F2" w:rsidP="001E4AE7">
            <w:pPr>
              <w:spacing w:before="0" w:after="0"/>
              <w:jc w:val="both"/>
            </w:pPr>
            <w:r>
              <w:t>Annexe à la Convention de Raccordement et d’Exploitation décrivant les caractéristiques de l’Installation du Stockeur</w:t>
            </w:r>
          </w:p>
        </w:tc>
      </w:tr>
      <w:tr w:rsidR="0076083D" w:rsidRPr="00DA2F93" w14:paraId="7BC3580A" w14:textId="77777777" w:rsidTr="001E4AE7">
        <w:tc>
          <w:tcPr>
            <w:tcW w:w="2675" w:type="dxa"/>
            <w:vAlign w:val="center"/>
          </w:tcPr>
          <w:p w14:paraId="286A8DB5" w14:textId="77777777" w:rsidR="008E4D2B" w:rsidRPr="00DA2F93" w:rsidRDefault="008E4D2B" w:rsidP="001E4AE7">
            <w:pPr>
              <w:spacing w:before="0" w:after="0"/>
              <w:jc w:val="both"/>
              <w:rPr>
                <w:b/>
              </w:rPr>
            </w:pPr>
            <w:r w:rsidRPr="00DA2F93">
              <w:rPr>
                <w:b/>
              </w:rPr>
              <w:t>Indices</w:t>
            </w:r>
          </w:p>
        </w:tc>
        <w:tc>
          <w:tcPr>
            <w:tcW w:w="7293" w:type="dxa"/>
            <w:vAlign w:val="center"/>
          </w:tcPr>
          <w:p w14:paraId="1ACB13CD" w14:textId="77777777" w:rsidR="008E4D2B" w:rsidRPr="00DA2F93" w:rsidRDefault="008E4D2B" w:rsidP="001E4AE7">
            <w:pPr>
              <w:spacing w:before="0" w:after="0"/>
              <w:jc w:val="both"/>
              <w:rPr>
                <w:b/>
              </w:rPr>
            </w:pPr>
          </w:p>
        </w:tc>
      </w:tr>
      <w:tr w:rsidR="0076083D" w:rsidRPr="00DA2F93" w14:paraId="0050D4F6" w14:textId="77777777" w:rsidTr="001E4AE7">
        <w:tc>
          <w:tcPr>
            <w:tcW w:w="2675" w:type="dxa"/>
            <w:vAlign w:val="center"/>
          </w:tcPr>
          <w:p w14:paraId="10157D29" w14:textId="77777777" w:rsidR="008E4D2B" w:rsidRPr="00DA2F93" w:rsidRDefault="008E4D2B" w:rsidP="001E4AE7">
            <w:pPr>
              <w:spacing w:before="0" w:after="0"/>
              <w:jc w:val="both"/>
            </w:pPr>
            <w:r>
              <w:t>SAL</w:t>
            </w:r>
          </w:p>
        </w:tc>
        <w:tc>
          <w:tcPr>
            <w:tcW w:w="7293" w:type="dxa"/>
            <w:vAlign w:val="center"/>
          </w:tcPr>
          <w:p w14:paraId="236F3562" w14:textId="77777777" w:rsidR="008E4D2B" w:rsidRPr="00DA2F93" w:rsidRDefault="008E4D2B" w:rsidP="001E4AE7">
            <w:pPr>
              <w:spacing w:before="0" w:after="0"/>
              <w:jc w:val="both"/>
            </w:pPr>
            <w:r w:rsidRPr="00DA2F93">
              <w:t xml:space="preserve">« Indice </w:t>
            </w:r>
            <w:r>
              <w:t>des salaires (valeur du point) de la branche « industrie en Nouvelle</w:t>
            </w:r>
            <w:r>
              <w:noBreakHyphen/>
              <w:t>Calédonie publiée par le MEDEF NC</w:t>
            </w:r>
            <w:r w:rsidRPr="00DA2F93">
              <w:t xml:space="preserve"> ». </w:t>
            </w:r>
          </w:p>
          <w:p w14:paraId="7C5FBFDF" w14:textId="77777777" w:rsidR="008E4D2B" w:rsidRPr="00DA2F93" w:rsidRDefault="008E4D2B" w:rsidP="001E4AE7">
            <w:pPr>
              <w:spacing w:before="0" w:after="0"/>
              <w:jc w:val="both"/>
            </w:pPr>
            <w:r w:rsidRPr="00DA2F93">
              <w:t xml:space="preserve">Ses valeurs successives sont disponibles sur le site Internet </w:t>
            </w:r>
            <w:r>
              <w:t>du MEDEF NC (https://medef.nc/dossiers/salaires-conventionnels)</w:t>
            </w:r>
            <w:r w:rsidRPr="00DA2F93">
              <w:t xml:space="preserve">. </w:t>
            </w:r>
          </w:p>
        </w:tc>
      </w:tr>
      <w:tr w:rsidR="0076083D" w:rsidRPr="00DA2F93" w14:paraId="49A4B942" w14:textId="77777777" w:rsidTr="001E4AE7">
        <w:tc>
          <w:tcPr>
            <w:tcW w:w="2675" w:type="dxa"/>
            <w:vAlign w:val="center"/>
          </w:tcPr>
          <w:p w14:paraId="38069A17" w14:textId="77777777" w:rsidR="008E4D2B" w:rsidRPr="00DA2F93" w:rsidRDefault="008E4D2B" w:rsidP="001E4AE7">
            <w:pPr>
              <w:spacing w:before="0" w:after="0"/>
              <w:jc w:val="both"/>
            </w:pPr>
            <w:r>
              <w:t>IM</w:t>
            </w:r>
          </w:p>
        </w:tc>
        <w:tc>
          <w:tcPr>
            <w:tcW w:w="7293" w:type="dxa"/>
            <w:vAlign w:val="center"/>
          </w:tcPr>
          <w:p w14:paraId="70522B16" w14:textId="77777777" w:rsidR="008E4D2B" w:rsidRPr="00DA2F93" w:rsidRDefault="008E4D2B" w:rsidP="001E4AE7">
            <w:pPr>
              <w:spacing w:before="0" w:after="0"/>
              <w:jc w:val="both"/>
            </w:pPr>
            <w:r w:rsidRPr="00DA2F93">
              <w:t xml:space="preserve">« Indice </w:t>
            </w:r>
            <w:r>
              <w:t>matériel du BT21 de la Nouvelle-Calédonie publié mensuellement par l’ISEE</w:t>
            </w:r>
            <w:r w:rsidRPr="00DA2F93">
              <w:t xml:space="preserve"> ». </w:t>
            </w:r>
          </w:p>
          <w:p w14:paraId="1B4BE534" w14:textId="77777777" w:rsidR="008E4D2B" w:rsidRPr="00DA2F93" w:rsidRDefault="008E4D2B" w:rsidP="001E4AE7">
            <w:pPr>
              <w:spacing w:before="0" w:after="0"/>
              <w:jc w:val="both"/>
            </w:pPr>
            <w:r w:rsidRPr="00DA2F93">
              <w:t>Ses valeurs successives sont disponibles sur le site Internet de l’ISEE</w:t>
            </w:r>
            <w:r>
              <w:t xml:space="preserve"> (</w:t>
            </w:r>
            <w:r w:rsidRPr="001F06F3">
              <w:t>https://www.isee.nc/economie-entreprises/entreprises-secteurs-d-activites/immobilier-construction</w:t>
            </w:r>
            <w:r>
              <w:t>)</w:t>
            </w:r>
            <w:r w:rsidRPr="00DA2F93">
              <w:t>.</w:t>
            </w:r>
          </w:p>
        </w:tc>
      </w:tr>
      <w:tr w:rsidR="0076083D" w:rsidRPr="00DA2F93" w14:paraId="15397334" w14:textId="77777777" w:rsidTr="001E4AE7">
        <w:tc>
          <w:tcPr>
            <w:tcW w:w="2675" w:type="dxa"/>
            <w:vAlign w:val="center"/>
          </w:tcPr>
          <w:p w14:paraId="4F63E9C0" w14:textId="77777777" w:rsidR="008E4D2B" w:rsidRPr="00DA2F93" w:rsidRDefault="008E4D2B" w:rsidP="001E4AE7">
            <w:pPr>
              <w:spacing w:before="0" w:after="0"/>
              <w:jc w:val="both"/>
            </w:pPr>
            <w:r w:rsidRPr="00DA2F93">
              <w:rPr>
                <w:b/>
              </w:rPr>
              <w:t>Autres</w:t>
            </w:r>
          </w:p>
        </w:tc>
        <w:tc>
          <w:tcPr>
            <w:tcW w:w="7293" w:type="dxa"/>
          </w:tcPr>
          <w:p w14:paraId="470B3D3F" w14:textId="77777777" w:rsidR="008E4D2B" w:rsidRPr="00DA2F93" w:rsidRDefault="008E4D2B" w:rsidP="001E4AE7">
            <w:pPr>
              <w:pStyle w:val="En-tte"/>
              <w:keepNext/>
              <w:keepLines/>
              <w:tabs>
                <w:tab w:val="clear" w:pos="4536"/>
                <w:tab w:val="clear" w:pos="9072"/>
              </w:tabs>
              <w:rPr>
                <w:szCs w:val="24"/>
              </w:rPr>
            </w:pPr>
          </w:p>
        </w:tc>
      </w:tr>
      <w:tr w:rsidR="0076083D" w:rsidRPr="00DA2F93" w14:paraId="25ED9CD1" w14:textId="77777777" w:rsidTr="001E4AE7">
        <w:tc>
          <w:tcPr>
            <w:tcW w:w="2675" w:type="dxa"/>
            <w:vAlign w:val="center"/>
          </w:tcPr>
          <w:p w14:paraId="58055925" w14:textId="77777777" w:rsidR="008E4D2B" w:rsidRPr="00DA2F93" w:rsidRDefault="008E4D2B" w:rsidP="001E4AE7">
            <w:pPr>
              <w:spacing w:before="0" w:after="0"/>
              <w:jc w:val="both"/>
            </w:pPr>
            <w:r w:rsidRPr="00DA2F93">
              <w:t>PPG (Prime de Puissance Garantie)</w:t>
            </w:r>
          </w:p>
        </w:tc>
        <w:tc>
          <w:tcPr>
            <w:tcW w:w="7293" w:type="dxa"/>
          </w:tcPr>
          <w:p w14:paraId="6039D6AD" w14:textId="77777777" w:rsidR="008E4D2B" w:rsidRPr="00DA2F93" w:rsidRDefault="008E4D2B" w:rsidP="001E4AE7">
            <w:pPr>
              <w:pStyle w:val="En-tte"/>
              <w:keepNext/>
              <w:keepLines/>
              <w:tabs>
                <w:tab w:val="clear" w:pos="4536"/>
                <w:tab w:val="clear" w:pos="9072"/>
              </w:tabs>
              <w:rPr>
                <w:szCs w:val="24"/>
              </w:rPr>
            </w:pPr>
            <w:r w:rsidRPr="00DA2F93">
              <w:rPr>
                <w:szCs w:val="24"/>
              </w:rPr>
              <w:t>Rémunère la disponibilité de l’Installation sur la base de ses coûts fixes (investissement, charges fixes d’exploitation et Gros Entretien et Renouvellement) (</w:t>
            </w:r>
            <w:r>
              <w:rPr>
                <w:szCs w:val="24"/>
              </w:rPr>
              <w:t>F CFP</w:t>
            </w:r>
            <w:r w:rsidRPr="00DA2F93">
              <w:rPr>
                <w:szCs w:val="24"/>
              </w:rPr>
              <w:t>).</w:t>
            </w:r>
          </w:p>
        </w:tc>
      </w:tr>
      <w:tr w:rsidR="0076083D" w:rsidRPr="00DA2F93" w14:paraId="66873454" w14:textId="77777777" w:rsidTr="001E4AE7">
        <w:tc>
          <w:tcPr>
            <w:tcW w:w="2675" w:type="dxa"/>
            <w:vAlign w:val="center"/>
          </w:tcPr>
          <w:p w14:paraId="27A5BBF8" w14:textId="77777777" w:rsidR="008E4D2B" w:rsidRPr="00DA2F93" w:rsidRDefault="008E4D2B" w:rsidP="001E4AE7">
            <w:pPr>
              <w:spacing w:before="0" w:after="0"/>
              <w:jc w:val="both"/>
            </w:pPr>
            <w:r w:rsidRPr="00DA2F93">
              <w:t>P</w:t>
            </w:r>
            <w:r>
              <w:t>CV</w:t>
            </w:r>
            <w:r w:rsidRPr="00DA2F93">
              <w:t xml:space="preserve"> (</w:t>
            </w:r>
            <w:r>
              <w:t>Prime de coûts variables</w:t>
            </w:r>
            <w:r w:rsidRPr="00DA2F93">
              <w:t>)</w:t>
            </w:r>
          </w:p>
        </w:tc>
        <w:tc>
          <w:tcPr>
            <w:tcW w:w="7293" w:type="dxa"/>
          </w:tcPr>
          <w:p w14:paraId="1C28DBDB" w14:textId="77777777" w:rsidR="008E4D2B" w:rsidRPr="005E0625" w:rsidRDefault="008E4D2B" w:rsidP="001E4AE7">
            <w:pPr>
              <w:pStyle w:val="En-tte"/>
              <w:keepNext/>
              <w:keepLines/>
              <w:tabs>
                <w:tab w:val="clear" w:pos="4536"/>
                <w:tab w:val="clear" w:pos="9072"/>
              </w:tabs>
              <w:rPr>
                <w:szCs w:val="24"/>
              </w:rPr>
            </w:pPr>
            <w:r>
              <w:rPr>
                <w:szCs w:val="24"/>
              </w:rPr>
              <w:t>Compense</w:t>
            </w:r>
            <w:r w:rsidRPr="00DA2F93">
              <w:rPr>
                <w:szCs w:val="24"/>
              </w:rPr>
              <w:t xml:space="preserve"> les coûts liés à l’achat de consommables et aux divers frais de maintenance et d’exploitation proportionnels au volume d’électricité soutiré ou injecté (</w:t>
            </w:r>
            <w:r>
              <w:rPr>
                <w:szCs w:val="24"/>
              </w:rPr>
              <w:t>F CFP</w:t>
            </w:r>
            <w:r w:rsidRPr="00DA2F93">
              <w:rPr>
                <w:szCs w:val="24"/>
              </w:rPr>
              <w:t>/</w:t>
            </w:r>
            <w:proofErr w:type="spellStart"/>
            <w:r w:rsidRPr="00DA2F93">
              <w:rPr>
                <w:szCs w:val="24"/>
              </w:rPr>
              <w:t>MWh</w:t>
            </w:r>
            <w:proofErr w:type="spellEnd"/>
            <w:r w:rsidRPr="00DA2F93">
              <w:rPr>
                <w:szCs w:val="24"/>
              </w:rPr>
              <w:t>).</w:t>
            </w:r>
          </w:p>
        </w:tc>
      </w:tr>
      <w:tr w:rsidR="0076083D" w:rsidRPr="00DA2F93" w14:paraId="5B5DAF2B" w14:textId="77777777" w:rsidTr="001E4AE7">
        <w:tc>
          <w:tcPr>
            <w:tcW w:w="2675" w:type="dxa"/>
            <w:vAlign w:val="center"/>
          </w:tcPr>
          <w:p w14:paraId="6BEF5733" w14:textId="77777777" w:rsidR="008E4D2B" w:rsidRPr="00DA2F93" w:rsidRDefault="008E4D2B" w:rsidP="001E4AE7">
            <w:pPr>
              <w:spacing w:before="0" w:after="0"/>
              <w:jc w:val="both"/>
            </w:pPr>
            <w:r w:rsidRPr="00DA2F93">
              <w:t>Facture</w:t>
            </w:r>
          </w:p>
        </w:tc>
        <w:tc>
          <w:tcPr>
            <w:tcW w:w="7293" w:type="dxa"/>
            <w:vAlign w:val="center"/>
          </w:tcPr>
          <w:p w14:paraId="57F133D1" w14:textId="77777777" w:rsidR="008E4D2B" w:rsidRPr="00DA2F93" w:rsidRDefault="008E4D2B" w:rsidP="001E4AE7">
            <w:pPr>
              <w:pStyle w:val="En-tte"/>
              <w:keepNext/>
              <w:keepLines/>
              <w:tabs>
                <w:tab w:val="clear" w:pos="4536"/>
                <w:tab w:val="clear" w:pos="9072"/>
              </w:tabs>
              <w:rPr>
                <w:szCs w:val="24"/>
              </w:rPr>
            </w:pPr>
            <w:r w:rsidRPr="00DA2F93">
              <w:t xml:space="preserve">Décompte périodique établi par le Stockeur et destiné au </w:t>
            </w:r>
            <w:r>
              <w:t>GRT</w:t>
            </w:r>
            <w:r w:rsidRPr="00DA2F93">
              <w:t xml:space="preserve"> récapitulant les montants de la Prime de Puissance Garantie, d</w:t>
            </w:r>
            <w:r>
              <w:t>e la</w:t>
            </w:r>
            <w:r w:rsidRPr="00DA2F93">
              <w:t xml:space="preserve"> </w:t>
            </w:r>
            <w:r>
              <w:t>Prime de coûts variables</w:t>
            </w:r>
            <w:r w:rsidRPr="00DA2F93">
              <w:t xml:space="preserve">, du </w:t>
            </w:r>
            <w:proofErr w:type="spellStart"/>
            <w:r w:rsidRPr="00DA2F93">
              <w:t>Bonus Malus</w:t>
            </w:r>
            <w:proofErr w:type="spellEnd"/>
            <w:r w:rsidRPr="00DA2F93">
              <w:t>, des Pénalités.</w:t>
            </w:r>
          </w:p>
        </w:tc>
      </w:tr>
      <w:tr w:rsidR="0076083D" w:rsidRPr="00DA2F93" w14:paraId="3BE7CFB2" w14:textId="77777777" w:rsidTr="001E4AE7">
        <w:tc>
          <w:tcPr>
            <w:tcW w:w="2675" w:type="dxa"/>
            <w:vAlign w:val="center"/>
          </w:tcPr>
          <w:p w14:paraId="3415E115" w14:textId="77777777" w:rsidR="008E4D2B" w:rsidRPr="00DA2F93" w:rsidRDefault="008E4D2B" w:rsidP="001E4AE7">
            <w:pPr>
              <w:spacing w:before="0" w:after="0"/>
              <w:jc w:val="both"/>
            </w:pPr>
            <w:r w:rsidRPr="00DA2F93">
              <w:t>Partie(s)</w:t>
            </w:r>
          </w:p>
        </w:tc>
        <w:tc>
          <w:tcPr>
            <w:tcW w:w="7293" w:type="dxa"/>
            <w:vAlign w:val="center"/>
          </w:tcPr>
          <w:p w14:paraId="4668C203" w14:textId="77777777" w:rsidR="008E4D2B" w:rsidRPr="00DA2F93" w:rsidRDefault="008E4D2B" w:rsidP="001E4AE7">
            <w:pPr>
              <w:spacing w:before="0" w:after="0"/>
              <w:jc w:val="both"/>
            </w:pPr>
            <w:r>
              <w:t>le GRT</w:t>
            </w:r>
            <w:r w:rsidRPr="00DA2F93">
              <w:t xml:space="preserve"> et / ou le Stockeur</w:t>
            </w:r>
          </w:p>
        </w:tc>
      </w:tr>
      <w:tr w:rsidR="0076083D" w:rsidRPr="00DA2F93" w14:paraId="3528B5F9" w14:textId="77777777" w:rsidTr="001E4AE7">
        <w:tc>
          <w:tcPr>
            <w:tcW w:w="2675" w:type="dxa"/>
            <w:vAlign w:val="center"/>
          </w:tcPr>
          <w:p w14:paraId="4717BB00" w14:textId="77777777" w:rsidR="008E4D2B" w:rsidRPr="00DA2F93" w:rsidRDefault="008E4D2B" w:rsidP="001E4AE7">
            <w:pPr>
              <w:spacing w:before="0" w:after="0"/>
              <w:jc w:val="both"/>
            </w:pPr>
            <w:r w:rsidRPr="00DA2F93">
              <w:t>Installation</w:t>
            </w:r>
          </w:p>
        </w:tc>
        <w:tc>
          <w:tcPr>
            <w:tcW w:w="7293" w:type="dxa"/>
            <w:vAlign w:val="center"/>
          </w:tcPr>
          <w:p w14:paraId="746DD8F2" w14:textId="07653CD0" w:rsidR="008E4D2B" w:rsidRPr="00DA2F93" w:rsidRDefault="008E4D2B" w:rsidP="001E4AE7">
            <w:pPr>
              <w:spacing w:before="0" w:after="0"/>
              <w:jc w:val="both"/>
            </w:pPr>
            <w:r w:rsidRPr="00DA2F93">
              <w:t xml:space="preserve">Ensemble </w:t>
            </w:r>
            <w:r w:rsidR="00634B1C">
              <w:t>des équipements du Stockeur permettant lui permettant de réaliser les Prestations</w:t>
            </w:r>
            <w:r w:rsidRPr="00DA2F93">
              <w:t xml:space="preserve">. </w:t>
            </w:r>
          </w:p>
        </w:tc>
      </w:tr>
      <w:tr w:rsidR="0076083D" w:rsidRPr="00DA2F93" w14:paraId="077F1174" w14:textId="77777777" w:rsidTr="001E4AE7">
        <w:tc>
          <w:tcPr>
            <w:tcW w:w="2675" w:type="dxa"/>
            <w:vAlign w:val="center"/>
          </w:tcPr>
          <w:p w14:paraId="75D9E73F" w14:textId="77777777" w:rsidR="008E4D2B" w:rsidRPr="00DA2F93" w:rsidRDefault="008E4D2B" w:rsidP="001E4AE7">
            <w:pPr>
              <w:spacing w:before="0" w:after="0"/>
              <w:jc w:val="both"/>
            </w:pPr>
            <w:r w:rsidRPr="00DA2F93">
              <w:rPr>
                <w:b/>
              </w:rPr>
              <w:t>Date de référence</w:t>
            </w:r>
          </w:p>
        </w:tc>
        <w:tc>
          <w:tcPr>
            <w:tcW w:w="7293" w:type="dxa"/>
            <w:vAlign w:val="center"/>
          </w:tcPr>
          <w:p w14:paraId="43895B44" w14:textId="4F552258" w:rsidR="008E4D2B" w:rsidRPr="00DA2F93" w:rsidRDefault="007E6A80" w:rsidP="001E4AE7">
            <w:pPr>
              <w:spacing w:before="0" w:after="0"/>
              <w:jc w:val="both"/>
            </w:pPr>
            <w:r>
              <w:t>28 octobre 2022</w:t>
            </w:r>
          </w:p>
        </w:tc>
      </w:tr>
      <w:tr w:rsidR="0076083D" w:rsidRPr="00DA2F93" w14:paraId="74FC7D6A" w14:textId="77777777" w:rsidTr="001E4AE7">
        <w:tc>
          <w:tcPr>
            <w:tcW w:w="2675" w:type="dxa"/>
            <w:vAlign w:val="center"/>
          </w:tcPr>
          <w:p w14:paraId="30CD4923" w14:textId="77777777" w:rsidR="008E4D2B" w:rsidRPr="00DA2F93" w:rsidRDefault="008E4D2B" w:rsidP="001E4AE7">
            <w:pPr>
              <w:spacing w:before="0" w:after="0"/>
              <w:jc w:val="both"/>
              <w:rPr>
                <w:b/>
              </w:rPr>
            </w:pPr>
            <w:r w:rsidRPr="00DA2F93">
              <w:rPr>
                <w:b/>
                <w:color w:val="000000" w:themeColor="text1"/>
              </w:rPr>
              <w:t>Date de signature</w:t>
            </w:r>
          </w:p>
        </w:tc>
        <w:tc>
          <w:tcPr>
            <w:tcW w:w="7293" w:type="dxa"/>
            <w:vAlign w:val="center"/>
          </w:tcPr>
          <w:p w14:paraId="4E7B8DD2" w14:textId="646F627B" w:rsidR="008E4D2B" w:rsidRPr="00DA2F93" w:rsidRDefault="008E4D2B" w:rsidP="001E4AE7">
            <w:pPr>
              <w:spacing w:before="0" w:after="0"/>
              <w:jc w:val="both"/>
            </w:pPr>
            <w:r w:rsidRPr="00DA2F93">
              <w:rPr>
                <w:color w:val="000000" w:themeColor="text1"/>
              </w:rPr>
              <w:t xml:space="preserve">Date à laquelle le </w:t>
            </w:r>
            <w:r>
              <w:rPr>
                <w:color w:val="000000" w:themeColor="text1"/>
              </w:rPr>
              <w:t>C</w:t>
            </w:r>
            <w:r w:rsidRPr="00DA2F93">
              <w:rPr>
                <w:color w:val="000000" w:themeColor="text1"/>
              </w:rPr>
              <w:t xml:space="preserve">ontrat est revêtu de la signature de toutes les Parties (cf. </w:t>
            </w:r>
            <w:r w:rsidRPr="00DA2F93">
              <w:rPr>
                <w:rFonts w:cs="Arial"/>
                <w:iCs/>
              </w:rPr>
              <w:t xml:space="preserve">§ </w:t>
            </w:r>
            <w:r w:rsidRPr="00DA2F93">
              <w:fldChar w:fldCharType="begin"/>
            </w:r>
            <w:r w:rsidRPr="00DA2F93">
              <w:rPr>
                <w:rFonts w:cs="Arial"/>
                <w:iCs/>
              </w:rPr>
              <w:instrText xml:space="preserve"> REF _Ref426018082 \r \h </w:instrText>
            </w:r>
            <w:r w:rsidRPr="00DA2F93">
              <w:instrText xml:space="preserve"> \* MERGEFORMAT </w:instrText>
            </w:r>
            <w:r w:rsidRPr="00DA2F93">
              <w:fldChar w:fldCharType="separate"/>
            </w:r>
            <w:r w:rsidR="0042414D">
              <w:rPr>
                <w:rFonts w:cs="Arial"/>
                <w:iCs/>
              </w:rPr>
              <w:t>32</w:t>
            </w:r>
            <w:r w:rsidRPr="00DA2F93">
              <w:fldChar w:fldCharType="end"/>
            </w:r>
            <w:r w:rsidRPr="00DA2F93">
              <w:rPr>
                <w:rFonts w:cs="Arial"/>
                <w:iCs/>
              </w:rPr>
              <w:t>)</w:t>
            </w:r>
          </w:p>
        </w:tc>
      </w:tr>
      <w:tr w:rsidR="0076083D" w:rsidRPr="00DA2F93" w14:paraId="48764602" w14:textId="77777777" w:rsidTr="001E4AE7">
        <w:tc>
          <w:tcPr>
            <w:tcW w:w="2675" w:type="dxa"/>
            <w:vAlign w:val="center"/>
          </w:tcPr>
          <w:p w14:paraId="15643A54" w14:textId="77777777" w:rsidR="008E4D2B" w:rsidRPr="00DA2F93" w:rsidRDefault="008E4D2B" w:rsidP="001E4AE7">
            <w:pPr>
              <w:spacing w:before="0" w:after="0"/>
              <w:jc w:val="both"/>
              <w:rPr>
                <w:b/>
                <w:color w:val="000000" w:themeColor="text1"/>
              </w:rPr>
            </w:pPr>
            <w:r w:rsidRPr="00DA2F93">
              <w:rPr>
                <w:b/>
                <w:color w:val="000000" w:themeColor="text1"/>
              </w:rPr>
              <w:t>Date d’entrée en vigueur du contrat</w:t>
            </w:r>
          </w:p>
        </w:tc>
        <w:tc>
          <w:tcPr>
            <w:tcW w:w="7293" w:type="dxa"/>
            <w:vAlign w:val="center"/>
          </w:tcPr>
          <w:p w14:paraId="411E74DE" w14:textId="77777777" w:rsidR="008E4D2B" w:rsidRPr="00DA2F93" w:rsidRDefault="008E4D2B" w:rsidP="001E4AE7">
            <w:pPr>
              <w:spacing w:before="0" w:after="0"/>
              <w:jc w:val="both"/>
              <w:rPr>
                <w:color w:val="000000" w:themeColor="text1"/>
              </w:rPr>
            </w:pPr>
            <w:r w:rsidRPr="00DA2F93">
              <w:rPr>
                <w:color w:val="000000" w:themeColor="text1"/>
              </w:rPr>
              <w:t xml:space="preserve">Date </w:t>
            </w:r>
            <w:r>
              <w:rPr>
                <w:color w:val="000000" w:themeColor="text1"/>
              </w:rPr>
              <w:t>à laquelle le Contrat entre en vigueur</w:t>
            </w:r>
          </w:p>
        </w:tc>
      </w:tr>
      <w:tr w:rsidR="0076083D" w:rsidRPr="00DA2F93" w14:paraId="6877E992" w14:textId="77777777" w:rsidTr="001E4AE7">
        <w:tc>
          <w:tcPr>
            <w:tcW w:w="2675" w:type="dxa"/>
            <w:vAlign w:val="center"/>
          </w:tcPr>
          <w:p w14:paraId="7C68A100" w14:textId="77777777" w:rsidR="008E4D2B" w:rsidRPr="00DA2F93" w:rsidRDefault="008E4D2B" w:rsidP="001E4AE7">
            <w:pPr>
              <w:spacing w:before="0" w:after="0"/>
              <w:jc w:val="both"/>
              <w:rPr>
                <w:b/>
                <w:color w:val="000000" w:themeColor="text1"/>
              </w:rPr>
            </w:pPr>
            <w:r w:rsidRPr="00DA2F93">
              <w:rPr>
                <w:b/>
                <w:color w:val="000000" w:themeColor="text1"/>
              </w:rPr>
              <w:t>Date de Mise en Service Industriel</w:t>
            </w:r>
            <w:r>
              <w:rPr>
                <w:b/>
                <w:color w:val="000000" w:themeColor="text1"/>
              </w:rPr>
              <w:t>le</w:t>
            </w:r>
            <w:r w:rsidRPr="00DA2F93">
              <w:rPr>
                <w:b/>
                <w:color w:val="000000" w:themeColor="text1"/>
              </w:rPr>
              <w:t xml:space="preserve"> prévisionnelle</w:t>
            </w:r>
          </w:p>
        </w:tc>
        <w:tc>
          <w:tcPr>
            <w:tcW w:w="7293" w:type="dxa"/>
            <w:vAlign w:val="center"/>
          </w:tcPr>
          <w:p w14:paraId="54F57AE1" w14:textId="53B629E8" w:rsidR="008E4D2B" w:rsidRPr="00DA2F93" w:rsidRDefault="008E4D2B" w:rsidP="001E4AE7">
            <w:pPr>
              <w:spacing w:before="0" w:after="0"/>
              <w:jc w:val="both"/>
              <w:rPr>
                <w:color w:val="000000" w:themeColor="text1"/>
              </w:rPr>
            </w:pPr>
            <w:r w:rsidRPr="00F91DB4">
              <w:rPr>
                <w:color w:val="000000" w:themeColor="text1"/>
                <w:highlight w:val="lightGray"/>
              </w:rPr>
              <w:t>XXX</w:t>
            </w:r>
            <w:r w:rsidRPr="00DA2F93">
              <w:rPr>
                <w:color w:val="000000" w:themeColor="text1"/>
              </w:rPr>
              <w:t xml:space="preserve"> mois après la Date d’Entrée en Vigueur du </w:t>
            </w:r>
            <w:r>
              <w:rPr>
                <w:color w:val="000000" w:themeColor="text1"/>
              </w:rPr>
              <w:t>C</w:t>
            </w:r>
            <w:r w:rsidRPr="00DA2F93">
              <w:rPr>
                <w:color w:val="000000" w:themeColor="text1"/>
              </w:rPr>
              <w:t xml:space="preserve">ontrat (cf. </w:t>
            </w:r>
            <w:r w:rsidRPr="00DA2F93">
              <w:rPr>
                <w:rFonts w:cs="Arial"/>
                <w:iCs/>
              </w:rPr>
              <w:t xml:space="preserve">§ </w:t>
            </w:r>
            <w:r w:rsidRPr="00DA2F93">
              <w:fldChar w:fldCharType="begin"/>
            </w:r>
            <w:r w:rsidRPr="00DA2F93">
              <w:instrText xml:space="preserve"> REF _Ref423946560 \r \h  \* MERGEFORMAT </w:instrText>
            </w:r>
            <w:r w:rsidRPr="00DA2F93">
              <w:fldChar w:fldCharType="separate"/>
            </w:r>
            <w:r w:rsidR="0042414D" w:rsidRPr="001E4AE7">
              <w:rPr>
                <w:rFonts w:cs="Arial"/>
                <w:iCs/>
              </w:rPr>
              <w:t>21</w:t>
            </w:r>
            <w:r w:rsidRPr="00DA2F93">
              <w:fldChar w:fldCharType="end"/>
            </w:r>
            <w:r w:rsidRPr="00DA2F93">
              <w:rPr>
                <w:rFonts w:cs="Arial"/>
                <w:iCs/>
              </w:rPr>
              <w:t>)</w:t>
            </w:r>
          </w:p>
        </w:tc>
      </w:tr>
      <w:tr w:rsidR="0076083D" w:rsidRPr="00DA2F93" w14:paraId="15255DB7" w14:textId="77777777" w:rsidTr="001E4AE7">
        <w:tc>
          <w:tcPr>
            <w:tcW w:w="2675" w:type="dxa"/>
            <w:vAlign w:val="center"/>
          </w:tcPr>
          <w:p w14:paraId="5B486C17" w14:textId="77777777" w:rsidR="008E4D2B" w:rsidRPr="00DA2F93" w:rsidRDefault="008E4D2B" w:rsidP="001E4AE7">
            <w:pPr>
              <w:spacing w:before="0" w:after="0"/>
              <w:jc w:val="both"/>
              <w:rPr>
                <w:b/>
                <w:color w:val="000000" w:themeColor="text1"/>
              </w:rPr>
            </w:pPr>
            <w:r w:rsidRPr="00DA2F93">
              <w:rPr>
                <w:b/>
              </w:rPr>
              <w:t>Durée du contrat</w:t>
            </w:r>
          </w:p>
        </w:tc>
        <w:tc>
          <w:tcPr>
            <w:tcW w:w="7293" w:type="dxa"/>
            <w:vAlign w:val="center"/>
          </w:tcPr>
          <w:p w14:paraId="04679755" w14:textId="516D5EF1" w:rsidR="008E4D2B" w:rsidRPr="00DA2F93" w:rsidRDefault="007E6A80" w:rsidP="001E4AE7">
            <w:pPr>
              <w:spacing w:before="0" w:after="0"/>
              <w:jc w:val="both"/>
              <w:rPr>
                <w:color w:val="000000" w:themeColor="text1"/>
              </w:rPr>
            </w:pPr>
            <w:r>
              <w:t>12</w:t>
            </w:r>
            <w:r w:rsidRPr="00DA2F93">
              <w:t xml:space="preserve"> </w:t>
            </w:r>
            <w:r w:rsidR="008E4D2B" w:rsidRPr="00DA2F93">
              <w:t xml:space="preserve">ans à partir de la date de Mise en Service Industriel de l’Installation </w:t>
            </w:r>
            <w:r w:rsidR="008E4D2B" w:rsidRPr="00DA2F93">
              <w:rPr>
                <w:color w:val="000000" w:themeColor="text1"/>
              </w:rPr>
              <w:t xml:space="preserve">(cf. </w:t>
            </w:r>
            <w:r w:rsidR="008E4D2B" w:rsidRPr="00DA2F93">
              <w:rPr>
                <w:rFonts w:cs="Arial"/>
                <w:iCs/>
              </w:rPr>
              <w:t xml:space="preserve">§ </w:t>
            </w:r>
            <w:r w:rsidR="008E4D2B" w:rsidRPr="00DA2F93">
              <w:fldChar w:fldCharType="begin"/>
            </w:r>
            <w:r w:rsidR="008E4D2B" w:rsidRPr="00DA2F93">
              <w:instrText xml:space="preserve"> REF _Ref423946560 \r \h  \* MERGEFORMAT </w:instrText>
            </w:r>
            <w:r w:rsidR="008E4D2B" w:rsidRPr="00DA2F93">
              <w:fldChar w:fldCharType="separate"/>
            </w:r>
            <w:r w:rsidR="0042414D" w:rsidRPr="001E4AE7">
              <w:rPr>
                <w:rFonts w:cs="Arial"/>
                <w:iCs/>
              </w:rPr>
              <w:t>21</w:t>
            </w:r>
            <w:r w:rsidR="008E4D2B" w:rsidRPr="00DA2F93">
              <w:fldChar w:fldCharType="end"/>
            </w:r>
            <w:r w:rsidR="008E4D2B" w:rsidRPr="00DA2F93">
              <w:rPr>
                <w:rFonts w:cs="Arial"/>
                <w:iCs/>
              </w:rPr>
              <w:t>)</w:t>
            </w:r>
          </w:p>
        </w:tc>
      </w:tr>
    </w:tbl>
    <w:p w14:paraId="750B16F4" w14:textId="77777777" w:rsidR="008E4D2B" w:rsidRPr="00F72D20" w:rsidRDefault="008E4D2B" w:rsidP="000243CB">
      <w:pPr>
        <w:widowControl w:val="0"/>
        <w:autoSpaceDE w:val="0"/>
        <w:autoSpaceDN w:val="0"/>
        <w:adjustRightInd w:val="0"/>
        <w:jc w:val="both"/>
        <w:rPr>
          <w:rFonts w:cs="Arial"/>
          <w:bCs/>
        </w:rPr>
      </w:pPr>
    </w:p>
    <w:p w14:paraId="62E1BAD3" w14:textId="77777777" w:rsidR="00E66A03" w:rsidRPr="00DA2F93" w:rsidRDefault="0089300E" w:rsidP="00E66A03">
      <w:pPr>
        <w:pStyle w:val="EDFTitre1"/>
        <w:jc w:val="both"/>
      </w:pPr>
      <w:bookmarkStart w:id="13" w:name="_Toc108185048"/>
      <w:bookmarkStart w:id="14" w:name="_Toc388896064"/>
      <w:bookmarkStart w:id="15" w:name="_Toc108113909"/>
      <w:bookmarkStart w:id="16" w:name="_Toc110436443"/>
      <w:bookmarkEnd w:id="13"/>
      <w:r w:rsidRPr="00DA2F93">
        <w:t>O</w:t>
      </w:r>
      <w:r w:rsidR="00E66A03" w:rsidRPr="00DA2F93">
        <w:t>bligations des parties</w:t>
      </w:r>
      <w:bookmarkEnd w:id="14"/>
      <w:bookmarkEnd w:id="15"/>
      <w:bookmarkEnd w:id="16"/>
    </w:p>
    <w:p w14:paraId="08C920D3" w14:textId="77777777" w:rsidR="004D692E" w:rsidRPr="00DA2F93" w:rsidRDefault="0089300E">
      <w:pPr>
        <w:pStyle w:val="EDFTitre2"/>
      </w:pPr>
      <w:bookmarkStart w:id="17" w:name="_Toc388896065"/>
      <w:bookmarkStart w:id="18" w:name="_Ref495340477"/>
      <w:bookmarkStart w:id="19" w:name="_Toc108113910"/>
      <w:bookmarkStart w:id="20" w:name="_Toc110436444"/>
      <w:r w:rsidRPr="00DA2F93">
        <w:t>O</w:t>
      </w:r>
      <w:r w:rsidR="00E66A03" w:rsidRPr="00DA2F93">
        <w:t xml:space="preserve">bligations du </w:t>
      </w:r>
      <w:r w:rsidR="00554628" w:rsidRPr="00DA2F93">
        <w:t>Stockeur</w:t>
      </w:r>
      <w:bookmarkEnd w:id="17"/>
      <w:bookmarkEnd w:id="18"/>
      <w:bookmarkEnd w:id="19"/>
      <w:bookmarkEnd w:id="20"/>
    </w:p>
    <w:p w14:paraId="0528B9DA" w14:textId="77777777" w:rsidR="00654ACD" w:rsidRDefault="00654ACD" w:rsidP="00654ACD">
      <w:pPr>
        <w:autoSpaceDE w:val="0"/>
        <w:autoSpaceDN w:val="0"/>
        <w:adjustRightInd w:val="0"/>
        <w:spacing w:before="0" w:after="0"/>
        <w:jc w:val="both"/>
        <w:rPr>
          <w:rFonts w:cs="Arial"/>
          <w:bCs/>
        </w:rPr>
      </w:pPr>
      <w:r>
        <w:rPr>
          <w:rFonts w:cs="Arial"/>
          <w:bCs/>
        </w:rPr>
        <w:t>Le Stockeur s’engage, au titre du Contrat, à :</w:t>
      </w:r>
    </w:p>
    <w:p w14:paraId="066E8BBC" w14:textId="1C02FE64" w:rsidR="00654ACD" w:rsidRPr="00135D70" w:rsidRDefault="00654ACD" w:rsidP="00654ACD">
      <w:pPr>
        <w:pStyle w:val="Paragraphedeliste"/>
        <w:numPr>
          <w:ilvl w:val="0"/>
          <w:numId w:val="31"/>
        </w:numPr>
        <w:autoSpaceDE w:val="0"/>
        <w:autoSpaceDN w:val="0"/>
        <w:adjustRightInd w:val="0"/>
        <w:spacing w:before="0" w:after="0"/>
        <w:jc w:val="both"/>
        <w:rPr>
          <w:rFonts w:cs="Arial"/>
          <w:bCs/>
        </w:rPr>
      </w:pPr>
      <w:r>
        <w:rPr>
          <w:rFonts w:cs="Arial"/>
          <w:bCs/>
        </w:rPr>
        <w:t>E</w:t>
      </w:r>
      <w:r w:rsidRPr="00135D70">
        <w:rPr>
          <w:rFonts w:cs="Arial"/>
          <w:bCs/>
        </w:rPr>
        <w:t>xécuter, dans le respect des exigences réglementaires et normatives en vigueur</w:t>
      </w:r>
      <w:r w:rsidR="00620B45">
        <w:rPr>
          <w:rFonts w:cs="Arial"/>
          <w:bCs/>
        </w:rPr>
        <w:t xml:space="preserve">, </w:t>
      </w:r>
      <w:r w:rsidRPr="00135D70">
        <w:rPr>
          <w:rFonts w:cs="Arial"/>
          <w:bCs/>
        </w:rPr>
        <w:t>les Prestations et mettre en œuvre sa compétence, son soin et sa diligence.</w:t>
      </w:r>
    </w:p>
    <w:p w14:paraId="59F34CDD" w14:textId="3CC211EC" w:rsidR="00654ACD" w:rsidRDefault="00620B45" w:rsidP="00654ACD">
      <w:pPr>
        <w:pStyle w:val="Paragraphedeliste"/>
        <w:numPr>
          <w:ilvl w:val="0"/>
          <w:numId w:val="31"/>
        </w:numPr>
        <w:autoSpaceDE w:val="0"/>
        <w:autoSpaceDN w:val="0"/>
        <w:adjustRightInd w:val="0"/>
        <w:spacing w:before="0" w:after="0"/>
        <w:jc w:val="both"/>
        <w:rPr>
          <w:rFonts w:cs="Arial"/>
          <w:bCs/>
        </w:rPr>
      </w:pPr>
      <w:r>
        <w:rPr>
          <w:rFonts w:cs="Arial"/>
          <w:bCs/>
        </w:rPr>
        <w:t>Réaliser les Prestations</w:t>
      </w:r>
      <w:r w:rsidR="00654ACD">
        <w:t xml:space="preserve"> </w:t>
      </w:r>
      <w:r w:rsidR="00654ACD" w:rsidRPr="00DA2F93">
        <w:t xml:space="preserve">sans autre compensation financière que celles mentionnées dans le présent </w:t>
      </w:r>
      <w:r w:rsidR="00654ACD">
        <w:t>C</w:t>
      </w:r>
      <w:r w:rsidR="00654ACD" w:rsidRPr="00DA2F93">
        <w:t>ontrat</w:t>
      </w:r>
      <w:r w:rsidR="00654ACD" w:rsidRPr="00135D70">
        <w:rPr>
          <w:rFonts w:cs="Arial"/>
          <w:bCs/>
        </w:rPr>
        <w:t xml:space="preserve">. </w:t>
      </w:r>
    </w:p>
    <w:p w14:paraId="7C365356" w14:textId="2E4B5DFF" w:rsidR="00620B45" w:rsidRDefault="00620B45" w:rsidP="00654ACD">
      <w:pPr>
        <w:pStyle w:val="Paragraphedeliste"/>
        <w:numPr>
          <w:ilvl w:val="0"/>
          <w:numId w:val="31"/>
        </w:numPr>
        <w:autoSpaceDE w:val="0"/>
        <w:autoSpaceDN w:val="0"/>
        <w:adjustRightInd w:val="0"/>
        <w:spacing w:before="0" w:after="0"/>
        <w:jc w:val="both"/>
        <w:rPr>
          <w:rFonts w:cs="Arial"/>
          <w:bCs/>
        </w:rPr>
      </w:pPr>
      <w:r>
        <w:rPr>
          <w:rFonts w:cs="Arial"/>
          <w:bCs/>
        </w:rPr>
        <w:t>Exploiter</w:t>
      </w:r>
      <w:r w:rsidRPr="00A60012">
        <w:rPr>
          <w:rFonts w:cs="Arial"/>
          <w:bCs/>
        </w:rPr>
        <w:t xml:space="preserve"> son Installation à ses frais et risques, sous son entière responsabilité, dans le respect de la Convention</w:t>
      </w:r>
      <w:r>
        <w:rPr>
          <w:rFonts w:cs="Arial"/>
          <w:bCs/>
        </w:rPr>
        <w:t xml:space="preserve"> de Raccordement et d’Exploitation</w:t>
      </w:r>
      <w:r w:rsidRPr="00A60012">
        <w:rPr>
          <w:rFonts w:cs="Arial"/>
          <w:bCs/>
        </w:rPr>
        <w:t>.</w:t>
      </w:r>
    </w:p>
    <w:p w14:paraId="6E6DB9A1" w14:textId="1C61C553" w:rsidR="00620B45" w:rsidRDefault="00620B45" w:rsidP="00654ACD">
      <w:pPr>
        <w:pStyle w:val="Paragraphedeliste"/>
        <w:numPr>
          <w:ilvl w:val="0"/>
          <w:numId w:val="31"/>
        </w:numPr>
        <w:autoSpaceDE w:val="0"/>
        <w:autoSpaceDN w:val="0"/>
        <w:adjustRightInd w:val="0"/>
        <w:spacing w:before="0" w:after="0"/>
        <w:jc w:val="both"/>
        <w:rPr>
          <w:rFonts w:cs="Arial"/>
          <w:bCs/>
        </w:rPr>
      </w:pPr>
      <w:r>
        <w:rPr>
          <w:rFonts w:cs="Arial"/>
          <w:bCs/>
        </w:rPr>
        <w:t>M</w:t>
      </w:r>
      <w:r w:rsidRPr="00A60012">
        <w:rPr>
          <w:rFonts w:cs="Arial"/>
          <w:bCs/>
        </w:rPr>
        <w:t>aintenir son Installation en conformité avec le</w:t>
      </w:r>
      <w:r>
        <w:rPr>
          <w:rFonts w:cs="Arial"/>
          <w:bCs/>
        </w:rPr>
        <w:t xml:space="preserve"> CCTP.</w:t>
      </w:r>
    </w:p>
    <w:p w14:paraId="65D8A282" w14:textId="77777777" w:rsidR="00654ACD" w:rsidRPr="00F91DB4" w:rsidRDefault="00654ACD" w:rsidP="00654ACD">
      <w:pPr>
        <w:pStyle w:val="Paragraphedeliste"/>
        <w:numPr>
          <w:ilvl w:val="0"/>
          <w:numId w:val="31"/>
        </w:numPr>
        <w:jc w:val="both"/>
      </w:pPr>
      <w:r>
        <w:rPr>
          <w:rFonts w:cs="Arial"/>
          <w:color w:val="000000" w:themeColor="text1"/>
        </w:rPr>
        <w:t>T</w:t>
      </w:r>
      <w:r w:rsidRPr="00135D70">
        <w:rPr>
          <w:rFonts w:cs="Arial"/>
          <w:color w:val="000000" w:themeColor="text1"/>
        </w:rPr>
        <w:t>enir le Client informé des modifications éventuelles de son Installation ayant un impact sur l’injection ou le soutirage d’énergie électrique, le fonctionnement de l’Installation ou l’économie du Contrat.</w:t>
      </w:r>
    </w:p>
    <w:p w14:paraId="42DF4877" w14:textId="77777777" w:rsidR="00654ACD" w:rsidRPr="00DA2F93" w:rsidRDefault="00654ACD" w:rsidP="00654ACD">
      <w:pPr>
        <w:pStyle w:val="Paragraphedeliste"/>
        <w:numPr>
          <w:ilvl w:val="0"/>
          <w:numId w:val="31"/>
        </w:numPr>
        <w:jc w:val="both"/>
      </w:pPr>
      <w:r>
        <w:rPr>
          <w:rFonts w:cs="Arial"/>
          <w:color w:val="000000" w:themeColor="text1"/>
        </w:rPr>
        <w:lastRenderedPageBreak/>
        <w:t>Alerter le Client en cas d’aléas (techniques, réglementaires…) l’empêchant de réaliser les Prestations dans les délais de réalisation contractuels et proposer des solutions pour faire face à ces aléas</w:t>
      </w:r>
    </w:p>
    <w:p w14:paraId="0AEBE502" w14:textId="77777777" w:rsidR="00654ACD" w:rsidRPr="00135D70" w:rsidRDefault="00654ACD" w:rsidP="00654ACD">
      <w:pPr>
        <w:pStyle w:val="Paragraphedeliste"/>
        <w:autoSpaceDE w:val="0"/>
        <w:autoSpaceDN w:val="0"/>
        <w:adjustRightInd w:val="0"/>
        <w:spacing w:before="0" w:after="0"/>
        <w:jc w:val="both"/>
        <w:rPr>
          <w:rFonts w:cs="Arial"/>
          <w:bCs/>
        </w:rPr>
      </w:pPr>
    </w:p>
    <w:p w14:paraId="16BD4729" w14:textId="77777777" w:rsidR="00654ACD" w:rsidRDefault="00654ACD" w:rsidP="00654ACD">
      <w:pPr>
        <w:autoSpaceDE w:val="0"/>
        <w:autoSpaceDN w:val="0"/>
        <w:adjustRightInd w:val="0"/>
        <w:spacing w:before="0" w:after="0"/>
        <w:jc w:val="both"/>
        <w:rPr>
          <w:rFonts w:cs="Arial"/>
          <w:bCs/>
        </w:rPr>
      </w:pPr>
      <w:r>
        <w:rPr>
          <w:rFonts w:cs="Arial"/>
          <w:bCs/>
        </w:rPr>
        <w:t>Le Stockeur engage sa responsabilité pleine et entière vis-à-vis du Client pour toute Prestation mal ou non exécutée directement imputable au Stockeur et suite à laquelle le Client engagerait la responsabilité du Stockeur.</w:t>
      </w:r>
    </w:p>
    <w:p w14:paraId="765FA3AB" w14:textId="77777777" w:rsidR="00654ACD" w:rsidRPr="00DA2F93" w:rsidRDefault="00654ACD" w:rsidP="00654ACD">
      <w:pPr>
        <w:autoSpaceDE w:val="0"/>
        <w:autoSpaceDN w:val="0"/>
        <w:adjustRightInd w:val="0"/>
        <w:spacing w:before="0" w:after="0"/>
        <w:jc w:val="both"/>
        <w:rPr>
          <w:rFonts w:cs="Arial"/>
          <w:bCs/>
        </w:rPr>
      </w:pPr>
    </w:p>
    <w:p w14:paraId="4E16C4AA" w14:textId="77777777" w:rsidR="00654ACD" w:rsidRPr="00DA2F93" w:rsidRDefault="00654ACD" w:rsidP="00654ACD">
      <w:pPr>
        <w:widowControl w:val="0"/>
        <w:tabs>
          <w:tab w:val="left" w:pos="204"/>
        </w:tabs>
        <w:autoSpaceDE w:val="0"/>
        <w:autoSpaceDN w:val="0"/>
        <w:adjustRightInd w:val="0"/>
        <w:jc w:val="both"/>
        <w:rPr>
          <w:rFonts w:cs="Arial"/>
          <w:bCs/>
        </w:rPr>
      </w:pPr>
      <w:r w:rsidRPr="00DA2F93">
        <w:rPr>
          <w:rFonts w:cs="Arial"/>
          <w:bCs/>
        </w:rPr>
        <w:t>Le Stockeur est titulaire des autorisations nécessaires à l’exercice de son activité et son Installation est conforme à la législation en vigueur.</w:t>
      </w:r>
    </w:p>
    <w:p w14:paraId="231A4E91" w14:textId="77777777" w:rsidR="00071E2A" w:rsidRDefault="00071E2A">
      <w:pPr>
        <w:autoSpaceDE w:val="0"/>
        <w:autoSpaceDN w:val="0"/>
        <w:adjustRightInd w:val="0"/>
        <w:spacing w:before="0" w:after="0"/>
        <w:jc w:val="both"/>
        <w:rPr>
          <w:rFonts w:cs="Arial"/>
          <w:bCs/>
        </w:rPr>
      </w:pPr>
    </w:p>
    <w:p w14:paraId="26FCEEE8" w14:textId="09187093" w:rsidR="007E5C27" w:rsidRPr="00DA2F93" w:rsidRDefault="007E5C27">
      <w:pPr>
        <w:autoSpaceDE w:val="0"/>
        <w:autoSpaceDN w:val="0"/>
        <w:adjustRightInd w:val="0"/>
        <w:spacing w:before="0" w:after="0"/>
        <w:jc w:val="both"/>
        <w:rPr>
          <w:rFonts w:cs="Arial"/>
          <w:bCs/>
        </w:rPr>
      </w:pPr>
    </w:p>
    <w:p w14:paraId="019BFC74" w14:textId="114F9641" w:rsidR="00E66A03" w:rsidRPr="00DA2F93" w:rsidRDefault="0089300E" w:rsidP="00E66A03">
      <w:pPr>
        <w:pStyle w:val="EDFTitre2"/>
      </w:pPr>
      <w:bookmarkStart w:id="21" w:name="_Toc108113912"/>
      <w:bookmarkStart w:id="22" w:name="_Toc108158428"/>
      <w:bookmarkStart w:id="23" w:name="_Toc108158537"/>
      <w:bookmarkStart w:id="24" w:name="_Toc108174243"/>
      <w:bookmarkStart w:id="25" w:name="_Toc108174354"/>
      <w:bookmarkStart w:id="26" w:name="_Toc108174474"/>
      <w:bookmarkStart w:id="27" w:name="_Toc108174639"/>
      <w:bookmarkStart w:id="28" w:name="_Toc108185052"/>
      <w:bookmarkStart w:id="29" w:name="_Toc108113913"/>
      <w:bookmarkStart w:id="30" w:name="_Toc108158429"/>
      <w:bookmarkStart w:id="31" w:name="_Toc108158538"/>
      <w:bookmarkStart w:id="32" w:name="_Toc108174244"/>
      <w:bookmarkStart w:id="33" w:name="_Toc108174355"/>
      <w:bookmarkStart w:id="34" w:name="_Toc108174475"/>
      <w:bookmarkStart w:id="35" w:name="_Toc108174640"/>
      <w:bookmarkStart w:id="36" w:name="_Toc108185053"/>
      <w:bookmarkStart w:id="37" w:name="_Toc108113914"/>
      <w:bookmarkStart w:id="38" w:name="_Toc108158430"/>
      <w:bookmarkStart w:id="39" w:name="_Toc108158539"/>
      <w:bookmarkStart w:id="40" w:name="_Toc108174245"/>
      <w:bookmarkStart w:id="41" w:name="_Toc108174356"/>
      <w:bookmarkStart w:id="42" w:name="_Toc108174476"/>
      <w:bookmarkStart w:id="43" w:name="_Toc108174641"/>
      <w:bookmarkStart w:id="44" w:name="_Toc108185054"/>
      <w:bookmarkStart w:id="45" w:name="_Toc388896066"/>
      <w:bookmarkStart w:id="46" w:name="_Ref495340417"/>
      <w:bookmarkStart w:id="47" w:name="_Toc108113915"/>
      <w:bookmarkStart w:id="48" w:name="_Toc11043644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DA2F93">
        <w:t>O</w:t>
      </w:r>
      <w:r w:rsidR="00E66A03" w:rsidRPr="00DA2F93">
        <w:t xml:space="preserve">bligations </w:t>
      </w:r>
      <w:bookmarkEnd w:id="45"/>
      <w:r w:rsidR="00673CB8" w:rsidRPr="00DA2F93">
        <w:t xml:space="preserve">du </w:t>
      </w:r>
      <w:r w:rsidR="00B361C0">
        <w:t>GRT</w:t>
      </w:r>
      <w:bookmarkEnd w:id="46"/>
      <w:bookmarkEnd w:id="47"/>
      <w:bookmarkEnd w:id="48"/>
    </w:p>
    <w:p w14:paraId="134E5C10" w14:textId="77777777" w:rsidR="00F72D20" w:rsidRDefault="00F72D20" w:rsidP="00F72D20">
      <w:pPr>
        <w:jc w:val="both"/>
      </w:pPr>
      <w:r>
        <w:t>Le Client s’engage à fournir au Stockeur les éléments relatifs au Contrat nécessaires à la bonne exécution des Prestations par le Stockeur.</w:t>
      </w:r>
    </w:p>
    <w:p w14:paraId="402E7DF2" w14:textId="77777777" w:rsidR="00F72D20" w:rsidRDefault="00F72D20" w:rsidP="00F72D20">
      <w:pPr>
        <w:jc w:val="both"/>
      </w:pPr>
      <w:r>
        <w:t>Le Client s’engage, au titre du Contrat, à :</w:t>
      </w:r>
    </w:p>
    <w:p w14:paraId="40044CB1" w14:textId="31613ED6" w:rsidR="00F72D20" w:rsidRPr="009B72F0" w:rsidRDefault="00F72D20" w:rsidP="00F72D20">
      <w:pPr>
        <w:pStyle w:val="Paragraphedeliste"/>
        <w:numPr>
          <w:ilvl w:val="0"/>
          <w:numId w:val="32"/>
        </w:numPr>
        <w:jc w:val="both"/>
        <w:rPr>
          <w:rFonts w:cs="Arial"/>
          <w:bCs/>
        </w:rPr>
      </w:pPr>
      <w:r>
        <w:t xml:space="preserve">Payer le Stockeur conformément aux stipulations définies à </w:t>
      </w:r>
      <w:r w:rsidRPr="00CB1605">
        <w:t>l’article 1</w:t>
      </w:r>
      <w:r w:rsidR="000243CB">
        <w:t>3</w:t>
      </w:r>
    </w:p>
    <w:p w14:paraId="6FF22401" w14:textId="77777777" w:rsidR="00073339" w:rsidRPr="00DA2F93" w:rsidRDefault="00073339" w:rsidP="000243CB">
      <w:pPr>
        <w:jc w:val="both"/>
      </w:pPr>
    </w:p>
    <w:p w14:paraId="64AD878C" w14:textId="77777777" w:rsidR="0091032A" w:rsidRPr="00DA2F93" w:rsidRDefault="00073339" w:rsidP="00073339">
      <w:pPr>
        <w:pStyle w:val="EDFTitre1"/>
        <w:jc w:val="both"/>
      </w:pPr>
      <w:bookmarkStart w:id="49" w:name="_Toc388896068"/>
      <w:bookmarkStart w:id="50" w:name="_Toc108113916"/>
      <w:bookmarkStart w:id="51" w:name="_Toc110436446"/>
      <w:r w:rsidRPr="00DA2F93">
        <w:t>Ra</w:t>
      </w:r>
      <w:r w:rsidR="0091032A" w:rsidRPr="00DA2F93">
        <w:t>ccordement et point de livraison</w:t>
      </w:r>
      <w:bookmarkEnd w:id="49"/>
      <w:bookmarkEnd w:id="50"/>
      <w:bookmarkEnd w:id="51"/>
    </w:p>
    <w:p w14:paraId="7035EC5C" w14:textId="229E19DA" w:rsidR="000202D9" w:rsidRPr="00DA2F93" w:rsidRDefault="0091032A" w:rsidP="000548E3">
      <w:pPr>
        <w:widowControl w:val="0"/>
        <w:tabs>
          <w:tab w:val="left" w:pos="12333"/>
        </w:tabs>
        <w:autoSpaceDE w:val="0"/>
        <w:autoSpaceDN w:val="0"/>
        <w:adjustRightInd w:val="0"/>
        <w:spacing w:before="29"/>
        <w:ind w:right="48"/>
        <w:jc w:val="both"/>
      </w:pPr>
      <w:r w:rsidRPr="00DA2F93">
        <w:t>L’</w:t>
      </w:r>
      <w:r w:rsidR="00444045" w:rsidRPr="00DA2F93">
        <w:t>Installation</w:t>
      </w:r>
      <w:r w:rsidRPr="00DA2F93">
        <w:t xml:space="preserve"> est reliée au réseau public de </w:t>
      </w:r>
      <w:r w:rsidR="003A3709">
        <w:t>transport</w:t>
      </w:r>
      <w:r w:rsidRPr="00DA2F93">
        <w:t xml:space="preserve"> </w:t>
      </w:r>
      <w:r w:rsidR="00445720" w:rsidRPr="00DA2F93">
        <w:t>HT</w:t>
      </w:r>
      <w:r w:rsidR="006916D8" w:rsidRPr="00DA2F93">
        <w:t>A</w:t>
      </w:r>
      <w:r w:rsidR="00E0707A">
        <w:t xml:space="preserve"> </w:t>
      </w:r>
      <w:r w:rsidR="00C10E8E" w:rsidRPr="00DA2F93">
        <w:t>par un raccordement</w:t>
      </w:r>
      <w:r w:rsidRPr="00DA2F93">
        <w:t xml:space="preserve"> </w:t>
      </w:r>
      <w:r w:rsidR="001B591C">
        <w:t xml:space="preserve">constitué de deux liaisons aboutissant au poste source de </w:t>
      </w:r>
      <w:proofErr w:type="spellStart"/>
      <w:r w:rsidR="001B591C">
        <w:t>Boulouparis</w:t>
      </w:r>
      <w:proofErr w:type="spellEnd"/>
      <w:r w:rsidR="00661736" w:rsidRPr="00DA2F93">
        <w:t>.</w:t>
      </w:r>
      <w:r w:rsidR="00A44C90" w:rsidRPr="00DA2F93">
        <w:t xml:space="preserve"> </w:t>
      </w:r>
    </w:p>
    <w:p w14:paraId="5FB971D7" w14:textId="5EBC5C69" w:rsidR="00CD15A1" w:rsidRDefault="00CD15A1" w:rsidP="00CD15A1">
      <w:pPr>
        <w:widowControl w:val="0"/>
        <w:tabs>
          <w:tab w:val="left" w:pos="12333"/>
        </w:tabs>
        <w:autoSpaceDE w:val="0"/>
        <w:autoSpaceDN w:val="0"/>
        <w:adjustRightInd w:val="0"/>
        <w:spacing w:before="29"/>
        <w:ind w:right="48"/>
        <w:jc w:val="both"/>
      </w:pPr>
      <w:r w:rsidRPr="00DA2F93">
        <w:t xml:space="preserve">Le raccordement, toutes les relations ayant trait à l’exploitation de ce raccordement ainsi que les conditions d’accès au réseau font l’objet </w:t>
      </w:r>
      <w:r w:rsidR="00E31664">
        <w:t>d’une Convention de Raccordement et d’Exploitation</w:t>
      </w:r>
      <w:r w:rsidRPr="00DA2F93">
        <w:t xml:space="preserve"> entre le </w:t>
      </w:r>
      <w:r w:rsidR="00554628" w:rsidRPr="00DA2F93">
        <w:t>Stockeur</w:t>
      </w:r>
      <w:r w:rsidRPr="00DA2F93">
        <w:t xml:space="preserve"> et le gestionnaire du réseau public concerné, en l’occurrence </w:t>
      </w:r>
      <w:r w:rsidR="00B361C0">
        <w:t>ENERCAL</w:t>
      </w:r>
      <w:r w:rsidR="00E31664">
        <w:t>.</w:t>
      </w:r>
    </w:p>
    <w:p w14:paraId="29DC2934" w14:textId="77777777" w:rsidR="00E31664" w:rsidRPr="00DA2F93" w:rsidRDefault="00E31664" w:rsidP="000243CB">
      <w:pPr>
        <w:widowControl w:val="0"/>
        <w:tabs>
          <w:tab w:val="left" w:pos="12333"/>
        </w:tabs>
        <w:autoSpaceDE w:val="0"/>
        <w:autoSpaceDN w:val="0"/>
        <w:adjustRightInd w:val="0"/>
        <w:ind w:right="45"/>
        <w:jc w:val="both"/>
      </w:pPr>
    </w:p>
    <w:p w14:paraId="0A2A0234" w14:textId="77777777" w:rsidR="0091032A" w:rsidRPr="00DA2F93" w:rsidRDefault="00444045" w:rsidP="000548E3">
      <w:pPr>
        <w:pStyle w:val="EDFTitre1"/>
        <w:jc w:val="both"/>
      </w:pPr>
      <w:bookmarkStart w:id="52" w:name="_Toc108185057"/>
      <w:bookmarkStart w:id="53" w:name="_Toc108174248"/>
      <w:bookmarkStart w:id="54" w:name="_Toc108174359"/>
      <w:bookmarkStart w:id="55" w:name="_Toc108174479"/>
      <w:bookmarkStart w:id="56" w:name="_Toc108174644"/>
      <w:bookmarkStart w:id="57" w:name="_Toc108185058"/>
      <w:bookmarkStart w:id="58" w:name="_Toc108174249"/>
      <w:bookmarkStart w:id="59" w:name="_Toc108174360"/>
      <w:bookmarkStart w:id="60" w:name="_Toc108174480"/>
      <w:bookmarkStart w:id="61" w:name="_Toc108174645"/>
      <w:bookmarkStart w:id="62" w:name="_Toc108185059"/>
      <w:bookmarkStart w:id="63" w:name="_Toc108174250"/>
      <w:bookmarkStart w:id="64" w:name="_Toc108174361"/>
      <w:bookmarkStart w:id="65" w:name="_Toc108174481"/>
      <w:bookmarkStart w:id="66" w:name="_Toc108174646"/>
      <w:bookmarkStart w:id="67" w:name="_Toc108185060"/>
      <w:bookmarkStart w:id="68" w:name="_Toc108174251"/>
      <w:bookmarkStart w:id="69" w:name="_Toc108174362"/>
      <w:bookmarkStart w:id="70" w:name="_Toc108174482"/>
      <w:bookmarkStart w:id="71" w:name="_Toc108174647"/>
      <w:bookmarkStart w:id="72" w:name="_Toc108185061"/>
      <w:bookmarkStart w:id="73" w:name="_Toc388896069"/>
      <w:bookmarkStart w:id="74" w:name="_Ref492476923"/>
      <w:bookmarkStart w:id="75" w:name="_Toc108113917"/>
      <w:bookmarkStart w:id="76" w:name="_Toc11043644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DA2F93">
        <w:t>Installation</w:t>
      </w:r>
      <w:r w:rsidR="0091032A" w:rsidRPr="00DA2F93">
        <w:t xml:space="preserve"> du </w:t>
      </w:r>
      <w:r w:rsidR="00554628" w:rsidRPr="00DA2F93">
        <w:t>Stockeur</w:t>
      </w:r>
      <w:bookmarkEnd w:id="73"/>
      <w:bookmarkEnd w:id="74"/>
      <w:bookmarkEnd w:id="75"/>
      <w:bookmarkEnd w:id="76"/>
    </w:p>
    <w:p w14:paraId="02793717" w14:textId="6BDF4AD9" w:rsidR="004855F2" w:rsidRDefault="004855F2" w:rsidP="00A60012">
      <w:pPr>
        <w:widowControl w:val="0"/>
        <w:tabs>
          <w:tab w:val="left" w:pos="204"/>
        </w:tabs>
        <w:autoSpaceDE w:val="0"/>
        <w:autoSpaceDN w:val="0"/>
        <w:adjustRightInd w:val="0"/>
        <w:jc w:val="both"/>
        <w:rPr>
          <w:rFonts w:cs="Arial"/>
          <w:bCs/>
        </w:rPr>
      </w:pPr>
      <w:r>
        <w:rPr>
          <w:rFonts w:cs="Arial"/>
          <w:bCs/>
        </w:rPr>
        <w:t xml:space="preserve">Les caractéristiques de l’Installation du Stockeur sont définies par </w:t>
      </w:r>
      <w:r w:rsidR="00860209">
        <w:rPr>
          <w:rFonts w:cs="Arial"/>
          <w:bCs/>
        </w:rPr>
        <w:t>sa Fiche de Recueil des Performances, annexe à la Convention de Raccordement et d’Exploitation.</w:t>
      </w:r>
    </w:p>
    <w:p w14:paraId="2779FC51" w14:textId="0AC17688" w:rsidR="00E053C5" w:rsidRPr="00DA2F93" w:rsidRDefault="00E053C5" w:rsidP="00E053C5">
      <w:pPr>
        <w:jc w:val="both"/>
        <w:rPr>
          <w:szCs w:val="24"/>
        </w:rPr>
      </w:pPr>
      <w:r w:rsidRPr="00DA2F93">
        <w:rPr>
          <w:szCs w:val="24"/>
        </w:rPr>
        <w:t xml:space="preserve">Tous les renseignements concernant le fonctionnement et la conduite de l’Installation doivent être tenus à la disposition </w:t>
      </w:r>
      <w:r w:rsidR="00673CB8" w:rsidRPr="00DA2F93">
        <w:rPr>
          <w:szCs w:val="24"/>
        </w:rPr>
        <w:t xml:space="preserve">du </w:t>
      </w:r>
      <w:r w:rsidR="00B361C0">
        <w:rPr>
          <w:szCs w:val="24"/>
        </w:rPr>
        <w:t>GRT</w:t>
      </w:r>
      <w:r w:rsidRPr="00DA2F93">
        <w:rPr>
          <w:szCs w:val="24"/>
        </w:rPr>
        <w:t xml:space="preserve"> et communiqués immédiatement à celui-ci sur simple demande.</w:t>
      </w:r>
    </w:p>
    <w:p w14:paraId="47B42AFB" w14:textId="77777777" w:rsidR="00B05A48" w:rsidRPr="00DA2F93" w:rsidRDefault="00B05A48" w:rsidP="000243CB">
      <w:pPr>
        <w:widowControl w:val="0"/>
        <w:tabs>
          <w:tab w:val="left" w:pos="12333"/>
        </w:tabs>
        <w:autoSpaceDE w:val="0"/>
        <w:autoSpaceDN w:val="0"/>
        <w:adjustRightInd w:val="0"/>
        <w:ind w:right="45"/>
        <w:jc w:val="both"/>
      </w:pPr>
    </w:p>
    <w:p w14:paraId="65E1C143" w14:textId="77777777" w:rsidR="0091032A" w:rsidRPr="00DA2F93" w:rsidRDefault="0091032A" w:rsidP="000548E3">
      <w:pPr>
        <w:pStyle w:val="EDFTitre1"/>
        <w:jc w:val="both"/>
      </w:pPr>
      <w:bookmarkStart w:id="77" w:name="_Ref378320655"/>
      <w:bookmarkStart w:id="78" w:name="_Toc388896070"/>
      <w:bookmarkStart w:id="79" w:name="_Toc108113918"/>
      <w:bookmarkStart w:id="80" w:name="_Toc110436448"/>
      <w:r w:rsidRPr="00DA2F93">
        <w:t>Mesure et contrôle</w:t>
      </w:r>
      <w:bookmarkEnd w:id="77"/>
      <w:bookmarkEnd w:id="78"/>
      <w:bookmarkEnd w:id="79"/>
      <w:bookmarkEnd w:id="80"/>
    </w:p>
    <w:p w14:paraId="20C01EA1" w14:textId="77777777" w:rsidR="00B56F94" w:rsidRPr="00DA2F93" w:rsidRDefault="00B56F94" w:rsidP="007061F2">
      <w:pPr>
        <w:pStyle w:val="EDFTitre2"/>
        <w:jc w:val="both"/>
      </w:pPr>
      <w:bookmarkStart w:id="81" w:name="_Toc108113919"/>
      <w:bookmarkStart w:id="82" w:name="_Toc110436449"/>
      <w:r w:rsidRPr="00DA2F93">
        <w:t>Energie et puissance</w:t>
      </w:r>
      <w:bookmarkEnd w:id="81"/>
      <w:bookmarkEnd w:id="82"/>
    </w:p>
    <w:p w14:paraId="5EDEFF05" w14:textId="7103C417" w:rsidR="00661736" w:rsidRPr="00E31664" w:rsidRDefault="0091032A" w:rsidP="000243CB">
      <w:pPr>
        <w:widowControl w:val="0"/>
        <w:tabs>
          <w:tab w:val="left" w:pos="204"/>
        </w:tabs>
        <w:autoSpaceDE w:val="0"/>
        <w:autoSpaceDN w:val="0"/>
        <w:adjustRightInd w:val="0"/>
        <w:jc w:val="both"/>
        <w:rPr>
          <w:rFonts w:cs="Arial"/>
          <w:bCs/>
        </w:rPr>
      </w:pPr>
      <w:r w:rsidRPr="00DA2F93">
        <w:rPr>
          <w:rFonts w:cs="Arial"/>
          <w:bCs/>
        </w:rPr>
        <w:t xml:space="preserve">La puissance et l’énergie électriques </w:t>
      </w:r>
      <w:r w:rsidR="00E41AAE">
        <w:rPr>
          <w:rFonts w:cs="Arial"/>
          <w:bCs/>
        </w:rPr>
        <w:t>livrées ou soutirées</w:t>
      </w:r>
      <w:r w:rsidR="00E41AAE" w:rsidRPr="00DA2F93">
        <w:rPr>
          <w:rFonts w:cs="Arial"/>
          <w:bCs/>
        </w:rPr>
        <w:t xml:space="preserve"> </w:t>
      </w:r>
      <w:r w:rsidR="00673CB8" w:rsidRPr="00DA2F93">
        <w:rPr>
          <w:rFonts w:cs="Arial"/>
          <w:bCs/>
        </w:rPr>
        <w:t xml:space="preserve">au </w:t>
      </w:r>
      <w:r w:rsidR="00B361C0">
        <w:rPr>
          <w:rFonts w:cs="Arial"/>
          <w:bCs/>
        </w:rPr>
        <w:t>GRT</w:t>
      </w:r>
      <w:r w:rsidRPr="00DA2F93">
        <w:rPr>
          <w:rFonts w:cs="Arial"/>
          <w:bCs/>
        </w:rPr>
        <w:t xml:space="preserve"> au point de </w:t>
      </w:r>
      <w:r w:rsidR="00EF2A4A" w:rsidRPr="00DA2F93">
        <w:rPr>
          <w:rFonts w:cs="Arial"/>
          <w:bCs/>
        </w:rPr>
        <w:t>livraison, au titre du présent C</w:t>
      </w:r>
      <w:r w:rsidRPr="00DA2F93">
        <w:rPr>
          <w:rFonts w:cs="Arial"/>
          <w:bCs/>
        </w:rPr>
        <w:t xml:space="preserve">ontrat, sont mesurées par un dispositif de comptage décrit dans </w:t>
      </w:r>
      <w:r w:rsidR="00E31664">
        <w:rPr>
          <w:rFonts w:cs="Arial"/>
          <w:bCs/>
        </w:rPr>
        <w:t xml:space="preserve">la </w:t>
      </w:r>
      <w:r w:rsidR="00502B79" w:rsidRPr="00E31664">
        <w:rPr>
          <w:rFonts w:cs="Arial"/>
          <w:bCs/>
        </w:rPr>
        <w:t>Convention de Raccordement et d’Exploitation</w:t>
      </w:r>
      <w:r w:rsidR="00E31664">
        <w:rPr>
          <w:rFonts w:cs="Arial"/>
          <w:bCs/>
        </w:rPr>
        <w:t>.</w:t>
      </w:r>
    </w:p>
    <w:p w14:paraId="696518E6" w14:textId="29C3BC50" w:rsidR="0091032A" w:rsidRPr="00DA2F93" w:rsidRDefault="0091032A" w:rsidP="000548E3">
      <w:pPr>
        <w:widowControl w:val="0"/>
        <w:tabs>
          <w:tab w:val="left" w:pos="204"/>
        </w:tabs>
        <w:autoSpaceDE w:val="0"/>
        <w:autoSpaceDN w:val="0"/>
        <w:adjustRightInd w:val="0"/>
        <w:jc w:val="both"/>
        <w:rPr>
          <w:rFonts w:cs="Arial"/>
          <w:bCs/>
        </w:rPr>
      </w:pPr>
      <w:r w:rsidRPr="00DA2F93">
        <w:rPr>
          <w:rFonts w:cs="Arial"/>
          <w:bCs/>
        </w:rPr>
        <w:t>En cas d’arrêt ou de fonctionnement défectueux du dispositif de comptage, l</w:t>
      </w:r>
      <w:r w:rsidR="00673CB8" w:rsidRPr="00DA2F93">
        <w:rPr>
          <w:rFonts w:cs="Arial"/>
          <w:bCs/>
        </w:rPr>
        <w:t xml:space="preserve">e </w:t>
      </w:r>
      <w:r w:rsidR="00B361C0">
        <w:rPr>
          <w:rFonts w:cs="Arial"/>
          <w:bCs/>
        </w:rPr>
        <w:t>GRT</w:t>
      </w:r>
      <w:r w:rsidRPr="00DA2F93">
        <w:rPr>
          <w:rFonts w:cs="Arial"/>
          <w:bCs/>
        </w:rPr>
        <w:t xml:space="preserve"> et le </w:t>
      </w:r>
      <w:r w:rsidR="00554628" w:rsidRPr="00DA2F93">
        <w:rPr>
          <w:rFonts w:cs="Arial"/>
          <w:bCs/>
        </w:rPr>
        <w:t>Stockeur</w:t>
      </w:r>
      <w:r w:rsidRPr="00DA2F93">
        <w:rPr>
          <w:rFonts w:cs="Arial"/>
          <w:bCs/>
        </w:rPr>
        <w:t xml:space="preserve"> se rapprochent pour estimer le plus exactement possible la </w:t>
      </w:r>
      <w:r w:rsidR="00AF6C3A" w:rsidRPr="00DA2F93">
        <w:rPr>
          <w:rFonts w:cs="Arial"/>
          <w:bCs/>
        </w:rPr>
        <w:t xml:space="preserve">quantité </w:t>
      </w:r>
      <w:r w:rsidRPr="00DA2F93">
        <w:rPr>
          <w:rFonts w:cs="Arial"/>
          <w:bCs/>
        </w:rPr>
        <w:t xml:space="preserve">de l’énergie </w:t>
      </w:r>
      <w:r w:rsidR="00AF6C3A" w:rsidRPr="00DA2F93">
        <w:rPr>
          <w:rFonts w:cs="Arial"/>
          <w:bCs/>
        </w:rPr>
        <w:t xml:space="preserve">électrique </w:t>
      </w:r>
      <w:r w:rsidRPr="00DA2F93">
        <w:rPr>
          <w:rFonts w:cs="Arial"/>
          <w:bCs/>
        </w:rPr>
        <w:t>livrée</w:t>
      </w:r>
      <w:r w:rsidR="00BE06CE" w:rsidRPr="00DA2F93">
        <w:rPr>
          <w:rFonts w:cs="Arial"/>
          <w:bCs/>
        </w:rPr>
        <w:t xml:space="preserve"> ou soutirée</w:t>
      </w:r>
      <w:r w:rsidRPr="00DA2F93">
        <w:rPr>
          <w:rFonts w:cs="Arial"/>
          <w:bCs/>
        </w:rPr>
        <w:t xml:space="preserve"> par le </w:t>
      </w:r>
      <w:r w:rsidR="00554628" w:rsidRPr="00DA2F93">
        <w:rPr>
          <w:rFonts w:cs="Arial"/>
          <w:bCs/>
        </w:rPr>
        <w:t>Stockeur</w:t>
      </w:r>
      <w:r w:rsidRPr="00DA2F93">
        <w:rPr>
          <w:rFonts w:cs="Arial"/>
          <w:bCs/>
        </w:rPr>
        <w:t xml:space="preserve"> durant la période considérée.</w:t>
      </w:r>
    </w:p>
    <w:p w14:paraId="659996B1" w14:textId="77777777" w:rsidR="004210C0" w:rsidRPr="00DA2F93" w:rsidRDefault="004210C0" w:rsidP="000243CB">
      <w:pPr>
        <w:widowControl w:val="0"/>
        <w:tabs>
          <w:tab w:val="left" w:pos="12333"/>
        </w:tabs>
        <w:autoSpaceDE w:val="0"/>
        <w:autoSpaceDN w:val="0"/>
        <w:adjustRightInd w:val="0"/>
        <w:ind w:right="45"/>
        <w:jc w:val="both"/>
      </w:pPr>
    </w:p>
    <w:p w14:paraId="67B66AB7" w14:textId="123225C5" w:rsidR="009C1A46" w:rsidRPr="00DA2F93" w:rsidRDefault="005F0239" w:rsidP="009C1A46">
      <w:pPr>
        <w:pStyle w:val="EDFTitre1"/>
        <w:jc w:val="both"/>
      </w:pPr>
      <w:bookmarkStart w:id="83" w:name="_Ref390265845"/>
      <w:bookmarkStart w:id="84" w:name="_Ref390265853"/>
      <w:bookmarkStart w:id="85" w:name="_Ref390265860"/>
      <w:bookmarkStart w:id="86" w:name="_Toc108113920"/>
      <w:bookmarkStart w:id="87" w:name="_Toc110436450"/>
      <w:r w:rsidRPr="00DA2F93">
        <w:t xml:space="preserve">Alimentation </w:t>
      </w:r>
      <w:r w:rsidR="000B177A" w:rsidRPr="00DA2F93">
        <w:t>de l’installation</w:t>
      </w:r>
      <w:r w:rsidR="004459F1" w:rsidRPr="00DA2F93">
        <w:t xml:space="preserve">, </w:t>
      </w:r>
      <w:r w:rsidRPr="00DA2F93">
        <w:t>des auxiliaires et des besoins annexes</w:t>
      </w:r>
      <w:bookmarkEnd w:id="83"/>
      <w:bookmarkEnd w:id="84"/>
      <w:bookmarkEnd w:id="85"/>
      <w:bookmarkEnd w:id="86"/>
      <w:bookmarkEnd w:id="87"/>
    </w:p>
    <w:p w14:paraId="5C28EBFC" w14:textId="5D035B83" w:rsidR="0091032A" w:rsidRPr="00DA2F93" w:rsidRDefault="0091032A" w:rsidP="000548E3">
      <w:pPr>
        <w:widowControl w:val="0"/>
        <w:tabs>
          <w:tab w:val="left" w:pos="204"/>
        </w:tabs>
        <w:autoSpaceDE w:val="0"/>
        <w:autoSpaceDN w:val="0"/>
        <w:adjustRightInd w:val="0"/>
        <w:jc w:val="both"/>
        <w:rPr>
          <w:rFonts w:cs="Arial"/>
          <w:bCs/>
        </w:rPr>
      </w:pPr>
      <w:r w:rsidRPr="00DA2F93">
        <w:rPr>
          <w:rFonts w:cs="Arial"/>
          <w:bCs/>
        </w:rPr>
        <w:t xml:space="preserve">Le </w:t>
      </w:r>
      <w:r w:rsidR="00554628" w:rsidRPr="00DA2F93">
        <w:rPr>
          <w:rFonts w:cs="Arial"/>
          <w:bCs/>
        </w:rPr>
        <w:t>Stockeur</w:t>
      </w:r>
      <w:r w:rsidRPr="00DA2F93">
        <w:rPr>
          <w:rFonts w:cs="Arial"/>
          <w:bCs/>
        </w:rPr>
        <w:t xml:space="preserve"> s’engage à fournir </w:t>
      </w:r>
      <w:r w:rsidR="00673CB8" w:rsidRPr="00DA2F93">
        <w:rPr>
          <w:rFonts w:cs="Arial"/>
          <w:bCs/>
        </w:rPr>
        <w:t xml:space="preserve">au </w:t>
      </w:r>
      <w:r w:rsidR="00B361C0">
        <w:rPr>
          <w:rFonts w:cs="Arial"/>
          <w:bCs/>
        </w:rPr>
        <w:t>GRT</w:t>
      </w:r>
      <w:r w:rsidRPr="00DA2F93">
        <w:rPr>
          <w:rFonts w:cs="Arial"/>
          <w:bCs/>
        </w:rPr>
        <w:t xml:space="preserve">, au point de livraison, la totalité de l’énergie </w:t>
      </w:r>
      <w:r w:rsidR="00CF6E5D" w:rsidRPr="00DA2F93">
        <w:rPr>
          <w:rFonts w:cs="Arial"/>
          <w:bCs/>
        </w:rPr>
        <w:t>électrique restituée</w:t>
      </w:r>
      <w:r w:rsidRPr="00DA2F93">
        <w:rPr>
          <w:rFonts w:cs="Arial"/>
          <w:bCs/>
        </w:rPr>
        <w:t xml:space="preserve"> par l’</w:t>
      </w:r>
      <w:r w:rsidR="00444045" w:rsidRPr="00DA2F93">
        <w:rPr>
          <w:rFonts w:cs="Arial"/>
          <w:bCs/>
        </w:rPr>
        <w:t>Installation</w:t>
      </w:r>
      <w:r w:rsidR="00BE5086" w:rsidRPr="00DA2F93">
        <w:rPr>
          <w:rFonts w:cs="Arial"/>
          <w:bCs/>
        </w:rPr>
        <w:t xml:space="preserve">, déduction faite </w:t>
      </w:r>
      <w:r w:rsidR="00083D4D" w:rsidRPr="00DA2F93">
        <w:rPr>
          <w:rFonts w:cs="Arial"/>
          <w:bCs/>
        </w:rPr>
        <w:t xml:space="preserve">des </w:t>
      </w:r>
      <w:r w:rsidR="001E31BF" w:rsidRPr="00DA2F93">
        <w:rPr>
          <w:rFonts w:cs="Arial"/>
          <w:bCs/>
        </w:rPr>
        <w:t>pertes</w:t>
      </w:r>
      <w:r w:rsidR="00332D87" w:rsidRPr="00DA2F93">
        <w:rPr>
          <w:rFonts w:cs="Arial"/>
          <w:bCs/>
        </w:rPr>
        <w:t xml:space="preserve"> entre le</w:t>
      </w:r>
      <w:r w:rsidR="004459F1" w:rsidRPr="00DA2F93">
        <w:rPr>
          <w:rFonts w:cs="Arial"/>
          <w:bCs/>
        </w:rPr>
        <w:t xml:space="preserve"> réservoir d’énergie </w:t>
      </w:r>
      <w:r w:rsidR="00332D87" w:rsidRPr="00DA2F93">
        <w:rPr>
          <w:rFonts w:cs="Arial"/>
          <w:bCs/>
        </w:rPr>
        <w:t>et le point de livraison</w:t>
      </w:r>
      <w:r w:rsidR="004459F1" w:rsidRPr="00DA2F93">
        <w:rPr>
          <w:rFonts w:cs="Arial"/>
          <w:bCs/>
        </w:rPr>
        <w:t>.</w:t>
      </w:r>
    </w:p>
    <w:p w14:paraId="2B86A5A6" w14:textId="021F1141" w:rsidR="00D2007D" w:rsidRPr="00D2007D" w:rsidRDefault="00307B87" w:rsidP="000243CB">
      <w:pPr>
        <w:widowControl w:val="0"/>
        <w:tabs>
          <w:tab w:val="left" w:pos="204"/>
        </w:tabs>
        <w:autoSpaceDE w:val="0"/>
        <w:autoSpaceDN w:val="0"/>
        <w:adjustRightInd w:val="0"/>
        <w:jc w:val="both"/>
        <w:rPr>
          <w:rFonts w:cs="Arial"/>
          <w:bCs/>
        </w:rPr>
      </w:pPr>
      <w:r w:rsidRPr="00D2007D">
        <w:rPr>
          <w:rFonts w:cs="Arial"/>
          <w:bCs/>
        </w:rPr>
        <w:t xml:space="preserve">Le Stockeur s’engage à souscrire un contrat d’achat d’énergie lui permettant d’alimenter l’Installation pendant les phases de chantier et d’essais, ainsi que pendant les phases d’indisponibilité de </w:t>
      </w:r>
      <w:r w:rsidRPr="00D2007D">
        <w:rPr>
          <w:rFonts w:cs="Arial"/>
          <w:bCs/>
        </w:rPr>
        <w:lastRenderedPageBreak/>
        <w:t>l’Installation.</w:t>
      </w:r>
      <w:r w:rsidR="00D2007D" w:rsidRPr="00D2007D">
        <w:rPr>
          <w:rFonts w:cs="Arial"/>
          <w:bCs/>
        </w:rPr>
        <w:t xml:space="preserve"> </w:t>
      </w:r>
    </w:p>
    <w:p w14:paraId="13C081EE" w14:textId="3F23131D" w:rsidR="00080D05" w:rsidRPr="00DA2F93" w:rsidRDefault="00080D05" w:rsidP="000243CB">
      <w:pPr>
        <w:widowControl w:val="0"/>
        <w:tabs>
          <w:tab w:val="left" w:pos="204"/>
        </w:tabs>
        <w:autoSpaceDE w:val="0"/>
        <w:autoSpaceDN w:val="0"/>
        <w:adjustRightInd w:val="0"/>
      </w:pPr>
    </w:p>
    <w:p w14:paraId="5B453145" w14:textId="77777777" w:rsidR="0091032A" w:rsidRPr="00DA2F93" w:rsidRDefault="0091032A" w:rsidP="000548E3">
      <w:pPr>
        <w:pStyle w:val="EDFTitre1"/>
        <w:jc w:val="both"/>
      </w:pPr>
      <w:bookmarkStart w:id="88" w:name="_Toc388896072"/>
      <w:bookmarkStart w:id="89" w:name="_Ref415578004"/>
      <w:bookmarkStart w:id="90" w:name="_Toc108113921"/>
      <w:bookmarkStart w:id="91" w:name="_Toc110436451"/>
      <w:r w:rsidRPr="00DA2F93">
        <w:t>Constitution du prix d’achat</w:t>
      </w:r>
      <w:bookmarkEnd w:id="88"/>
      <w:bookmarkEnd w:id="89"/>
      <w:bookmarkEnd w:id="90"/>
      <w:bookmarkEnd w:id="91"/>
    </w:p>
    <w:p w14:paraId="370BE1AF" w14:textId="22FFE98A" w:rsidR="00E0707A" w:rsidRDefault="0091032A" w:rsidP="00343971">
      <w:pPr>
        <w:jc w:val="both"/>
        <w:rPr>
          <w:rFonts w:cs="Arial"/>
        </w:rPr>
      </w:pPr>
      <w:r w:rsidRPr="00DA2F93">
        <w:rPr>
          <w:rFonts w:cs="Arial"/>
        </w:rPr>
        <w:t xml:space="preserve">Le prix </w:t>
      </w:r>
      <w:r w:rsidR="00080D05" w:rsidRPr="00DA2F93">
        <w:rPr>
          <w:rFonts w:cs="Arial"/>
        </w:rPr>
        <w:t xml:space="preserve">d’achat </w:t>
      </w:r>
      <w:r w:rsidRPr="00DA2F93">
        <w:rPr>
          <w:rFonts w:cs="Arial"/>
        </w:rPr>
        <w:t>est constitué</w:t>
      </w:r>
      <w:r w:rsidR="00E0707A">
        <w:rPr>
          <w:rFonts w:cs="Arial"/>
        </w:rPr>
        <w:t> :</w:t>
      </w:r>
    </w:p>
    <w:p w14:paraId="08800B8C" w14:textId="3FA1122E" w:rsidR="0091032A" w:rsidRPr="00A03563" w:rsidRDefault="0091032A" w:rsidP="0012677E">
      <w:pPr>
        <w:pStyle w:val="Paragraphedeliste"/>
        <w:numPr>
          <w:ilvl w:val="0"/>
          <w:numId w:val="28"/>
        </w:numPr>
        <w:jc w:val="both"/>
        <w:rPr>
          <w:rFonts w:cs="Arial"/>
        </w:rPr>
      </w:pPr>
      <w:r w:rsidRPr="003514A6">
        <w:rPr>
          <w:rFonts w:cs="Arial"/>
        </w:rPr>
        <w:t>d</w:t>
      </w:r>
      <w:r w:rsidR="00343971" w:rsidRPr="003514A6">
        <w:rPr>
          <w:rFonts w:cs="Arial"/>
        </w:rPr>
        <w:t>’</w:t>
      </w:r>
      <w:r w:rsidRPr="00C77FE4">
        <w:rPr>
          <w:rFonts w:cs="Arial"/>
        </w:rPr>
        <w:t>une Prime de Puissance Garantie</w:t>
      </w:r>
      <w:r w:rsidR="006A47FB" w:rsidRPr="000E1F48">
        <w:rPr>
          <w:rFonts w:cs="Arial"/>
        </w:rPr>
        <w:t xml:space="preserve">, « PPG », rémunérant </w:t>
      </w:r>
      <w:r w:rsidR="000C6529" w:rsidRPr="000E1F48">
        <w:rPr>
          <w:rFonts w:cs="Arial"/>
        </w:rPr>
        <w:t xml:space="preserve">la </w:t>
      </w:r>
      <w:r w:rsidR="006E428C" w:rsidRPr="00A03563">
        <w:rPr>
          <w:rFonts w:cs="Arial"/>
        </w:rPr>
        <w:t>disponibilité</w:t>
      </w:r>
      <w:r w:rsidR="009F503C" w:rsidRPr="00A03563">
        <w:rPr>
          <w:rFonts w:cs="Arial"/>
        </w:rPr>
        <w:t xml:space="preserve"> de l’Installation </w:t>
      </w:r>
      <w:r w:rsidR="00193F56" w:rsidRPr="00A03563">
        <w:rPr>
          <w:rFonts w:cs="Arial"/>
        </w:rPr>
        <w:t>du</w:t>
      </w:r>
      <w:r w:rsidR="009F503C" w:rsidRPr="00A03563">
        <w:rPr>
          <w:rFonts w:cs="Arial"/>
        </w:rPr>
        <w:t xml:space="preserve"> </w:t>
      </w:r>
      <w:r w:rsidR="00554628" w:rsidRPr="00A03563">
        <w:rPr>
          <w:rFonts w:cs="Arial"/>
        </w:rPr>
        <w:t>Stockeur</w:t>
      </w:r>
      <w:r w:rsidR="008B0364" w:rsidRPr="00A03563">
        <w:rPr>
          <w:rFonts w:cs="Arial"/>
        </w:rPr>
        <w:t>. Elle</w:t>
      </w:r>
      <w:r w:rsidR="00797F4F" w:rsidRPr="00DA2F93">
        <w:t xml:space="preserve"> </w:t>
      </w:r>
      <w:r w:rsidR="00594FCD" w:rsidRPr="00DA2F93">
        <w:t>est</w:t>
      </w:r>
      <w:r w:rsidRPr="003514A6">
        <w:rPr>
          <w:rFonts w:cs="Arial"/>
        </w:rPr>
        <w:t xml:space="preserve"> affectée d’un syst</w:t>
      </w:r>
      <w:r w:rsidR="00740687" w:rsidRPr="003514A6">
        <w:rPr>
          <w:rFonts w:cs="Arial"/>
        </w:rPr>
        <w:t xml:space="preserve">ème de </w:t>
      </w:r>
      <w:r w:rsidR="007D3507" w:rsidRPr="003514A6">
        <w:rPr>
          <w:rFonts w:cs="Arial"/>
        </w:rPr>
        <w:t>Bonus</w:t>
      </w:r>
      <w:r w:rsidR="007D3507">
        <w:rPr>
          <w:rFonts w:cs="Arial"/>
        </w:rPr>
        <w:t>-</w:t>
      </w:r>
      <w:r w:rsidR="00740687" w:rsidRPr="003514A6">
        <w:rPr>
          <w:rFonts w:cs="Arial"/>
        </w:rPr>
        <w:t>Malus</w:t>
      </w:r>
      <w:r w:rsidR="008B0364" w:rsidRPr="00C77FE4">
        <w:rPr>
          <w:rFonts w:cs="Arial"/>
        </w:rPr>
        <w:t>, d’un système de pénalités</w:t>
      </w:r>
      <w:r w:rsidR="00740687" w:rsidRPr="000E1F48">
        <w:rPr>
          <w:rFonts w:cs="Arial"/>
        </w:rPr>
        <w:t xml:space="preserve"> </w:t>
      </w:r>
      <w:r w:rsidR="00021BC6" w:rsidRPr="000E1F48">
        <w:rPr>
          <w:rFonts w:cs="Arial"/>
        </w:rPr>
        <w:t>et d’un système d’indexation ;</w:t>
      </w:r>
    </w:p>
    <w:p w14:paraId="3347A76B" w14:textId="26B91FD8" w:rsidR="0091032A" w:rsidRPr="00A03563" w:rsidRDefault="00FF0E25" w:rsidP="0012677E">
      <w:pPr>
        <w:pStyle w:val="Paragraphedeliste"/>
        <w:numPr>
          <w:ilvl w:val="0"/>
          <w:numId w:val="28"/>
        </w:numPr>
        <w:jc w:val="both"/>
        <w:rPr>
          <w:rFonts w:cs="Arial"/>
        </w:rPr>
      </w:pPr>
      <w:r w:rsidRPr="00A03563">
        <w:rPr>
          <w:rFonts w:cs="Arial"/>
        </w:rPr>
        <w:t>L</w:t>
      </w:r>
      <w:r>
        <w:rPr>
          <w:rFonts w:cs="Arial"/>
        </w:rPr>
        <w:t>a</w:t>
      </w:r>
      <w:r w:rsidRPr="00A03563">
        <w:rPr>
          <w:rFonts w:cs="Arial"/>
        </w:rPr>
        <w:t xml:space="preserve"> </w:t>
      </w:r>
      <w:r>
        <w:rPr>
          <w:rFonts w:cs="Arial"/>
        </w:rPr>
        <w:t>Prime de coûts variables</w:t>
      </w:r>
      <w:r w:rsidR="00343971" w:rsidRPr="00A03563">
        <w:rPr>
          <w:rFonts w:cs="Arial"/>
        </w:rPr>
        <w:t>, « </w:t>
      </w:r>
      <w:r w:rsidRPr="00A03563">
        <w:rPr>
          <w:rFonts w:cs="Arial"/>
        </w:rPr>
        <w:t>P</w:t>
      </w:r>
      <w:r>
        <w:rPr>
          <w:rFonts w:cs="Arial"/>
        </w:rPr>
        <w:t>CV</w:t>
      </w:r>
      <w:r w:rsidRPr="00A03563">
        <w:rPr>
          <w:rFonts w:cs="Arial"/>
        </w:rPr>
        <w:t> </w:t>
      </w:r>
      <w:r w:rsidR="00343971" w:rsidRPr="00A03563">
        <w:rPr>
          <w:rFonts w:cs="Arial"/>
        </w:rPr>
        <w:t xml:space="preserve">», </w:t>
      </w:r>
      <w:r w:rsidR="004459F1" w:rsidRPr="00A03563">
        <w:rPr>
          <w:rFonts w:cs="Arial"/>
        </w:rPr>
        <w:t>rémunère les coûts liés à l’achat de consommables et aux divers frais de maintenance et d’exploitation proportionnels au volume d’électricité soutiré ou injecté</w:t>
      </w:r>
      <w:r w:rsidR="00343971" w:rsidRPr="00A03563">
        <w:rPr>
          <w:rFonts w:cs="Arial"/>
        </w:rPr>
        <w:t xml:space="preserve"> </w:t>
      </w:r>
      <w:r w:rsidR="006A47FB" w:rsidRPr="00A03563">
        <w:rPr>
          <w:rFonts w:cs="Arial"/>
        </w:rPr>
        <w:t xml:space="preserve">sur le réseau public de </w:t>
      </w:r>
      <w:r w:rsidR="003A3709">
        <w:rPr>
          <w:rFonts w:cs="Arial"/>
        </w:rPr>
        <w:t>transport</w:t>
      </w:r>
      <w:r w:rsidR="008B0364" w:rsidRPr="00A03563">
        <w:rPr>
          <w:rFonts w:cs="Arial"/>
        </w:rPr>
        <w:t xml:space="preserve">. Il est </w:t>
      </w:r>
      <w:r w:rsidR="0091032A" w:rsidRPr="00A03563">
        <w:rPr>
          <w:rFonts w:cs="Arial"/>
        </w:rPr>
        <w:t>affecté d’un système d’indexation</w:t>
      </w:r>
      <w:r w:rsidR="000827EC" w:rsidRPr="00A03563">
        <w:rPr>
          <w:rFonts w:cs="Arial"/>
        </w:rPr>
        <w:t> ;</w:t>
      </w:r>
    </w:p>
    <w:p w14:paraId="5EEE7821" w14:textId="27077265" w:rsidR="007E5C27" w:rsidRPr="00DA2F93" w:rsidRDefault="004B75D2">
      <w:pPr>
        <w:jc w:val="both"/>
        <w:rPr>
          <w:rFonts w:cs="Arial"/>
          <w:color w:val="000000" w:themeColor="text1"/>
        </w:rPr>
      </w:pPr>
      <w:r w:rsidRPr="00DA2F93">
        <w:rPr>
          <w:rFonts w:cs="Arial"/>
          <w:color w:val="000000" w:themeColor="text1"/>
        </w:rPr>
        <w:t>Le versement de la Prime de Puissanc</w:t>
      </w:r>
      <w:r w:rsidR="00994F3A" w:rsidRPr="00DA2F93">
        <w:rPr>
          <w:rFonts w:cs="Arial"/>
          <w:color w:val="000000" w:themeColor="text1"/>
        </w:rPr>
        <w:t>e Garantie,</w:t>
      </w:r>
      <w:r w:rsidRPr="00DA2F93">
        <w:rPr>
          <w:rFonts w:cs="Arial"/>
          <w:color w:val="000000" w:themeColor="text1"/>
        </w:rPr>
        <w:t xml:space="preserve"> l'application du </w:t>
      </w:r>
      <w:r w:rsidR="007D3507" w:rsidRPr="00DA2F93">
        <w:rPr>
          <w:rFonts w:cs="Arial"/>
          <w:color w:val="000000" w:themeColor="text1"/>
        </w:rPr>
        <w:t>Bonus</w:t>
      </w:r>
      <w:r w:rsidR="007D3507">
        <w:rPr>
          <w:rFonts w:cs="Arial"/>
          <w:color w:val="000000" w:themeColor="text1"/>
        </w:rPr>
        <w:t>-</w:t>
      </w:r>
      <w:r w:rsidRPr="00DA2F93">
        <w:rPr>
          <w:rFonts w:cs="Arial"/>
          <w:color w:val="000000" w:themeColor="text1"/>
        </w:rPr>
        <w:t>M</w:t>
      </w:r>
      <w:r w:rsidR="00994F3A" w:rsidRPr="00DA2F93">
        <w:rPr>
          <w:rFonts w:cs="Arial"/>
          <w:color w:val="000000" w:themeColor="text1"/>
        </w:rPr>
        <w:t>alus et des p</w:t>
      </w:r>
      <w:r w:rsidRPr="00DA2F93">
        <w:rPr>
          <w:rFonts w:cs="Arial"/>
          <w:color w:val="000000" w:themeColor="text1"/>
        </w:rPr>
        <w:t>énalités</w:t>
      </w:r>
      <w:r w:rsidR="0082597C" w:rsidRPr="00DA2F93">
        <w:rPr>
          <w:rFonts w:cs="Arial"/>
          <w:color w:val="000000" w:themeColor="text1"/>
        </w:rPr>
        <w:t xml:space="preserve"> démarrent</w:t>
      </w:r>
      <w:r w:rsidRPr="00DA2F93">
        <w:rPr>
          <w:rFonts w:cs="Arial"/>
          <w:color w:val="000000" w:themeColor="text1"/>
        </w:rPr>
        <w:t xml:space="preserve"> à la date de Mise en Servic</w:t>
      </w:r>
      <w:r w:rsidR="00343971" w:rsidRPr="00DA2F93">
        <w:rPr>
          <w:rFonts w:cs="Arial"/>
          <w:color w:val="000000" w:themeColor="text1"/>
        </w:rPr>
        <w:t xml:space="preserve">e </w:t>
      </w:r>
      <w:r w:rsidR="00F71BC8">
        <w:rPr>
          <w:rFonts w:cs="Arial"/>
          <w:color w:val="000000" w:themeColor="text1"/>
        </w:rPr>
        <w:t>Industrielle</w:t>
      </w:r>
      <w:r w:rsidR="00343971" w:rsidRPr="00DA2F93">
        <w:rPr>
          <w:rFonts w:cs="Arial"/>
          <w:color w:val="000000" w:themeColor="text1"/>
        </w:rPr>
        <w:t xml:space="preserve"> de l’Installation.</w:t>
      </w:r>
    </w:p>
    <w:p w14:paraId="7D837608" w14:textId="64A8A648" w:rsidR="00111810" w:rsidRPr="00DA2F93" w:rsidRDefault="00111810">
      <w:pPr>
        <w:jc w:val="both"/>
        <w:rPr>
          <w:color w:val="000000" w:themeColor="text1"/>
        </w:rPr>
      </w:pPr>
      <w:r w:rsidRPr="00DA2F93">
        <w:rPr>
          <w:rFonts w:cs="Arial"/>
          <w:color w:val="000000" w:themeColor="text1"/>
        </w:rPr>
        <w:t>L</w:t>
      </w:r>
      <w:r w:rsidR="0082597C" w:rsidRPr="00DA2F93">
        <w:rPr>
          <w:rFonts w:cs="Arial"/>
          <w:color w:val="000000" w:themeColor="text1"/>
        </w:rPr>
        <w:t>a facturation</w:t>
      </w:r>
      <w:r w:rsidRPr="00DA2F93">
        <w:rPr>
          <w:rFonts w:cs="Arial"/>
          <w:color w:val="000000" w:themeColor="text1"/>
        </w:rPr>
        <w:t xml:space="preserve"> </w:t>
      </w:r>
      <w:r w:rsidR="00FF0E25" w:rsidRPr="00DA2F93">
        <w:rPr>
          <w:rFonts w:cs="Arial"/>
          <w:color w:val="000000" w:themeColor="text1"/>
        </w:rPr>
        <w:t>d</w:t>
      </w:r>
      <w:r w:rsidR="00FF0E25">
        <w:rPr>
          <w:rFonts w:cs="Arial"/>
          <w:color w:val="000000" w:themeColor="text1"/>
        </w:rPr>
        <w:t>e la</w:t>
      </w:r>
      <w:r w:rsidR="00FF0E25" w:rsidRPr="00DA2F93">
        <w:rPr>
          <w:rFonts w:cs="Arial"/>
          <w:color w:val="000000" w:themeColor="text1"/>
        </w:rPr>
        <w:t xml:space="preserve"> </w:t>
      </w:r>
      <w:r w:rsidR="00FF0E25">
        <w:rPr>
          <w:rFonts w:cs="Arial"/>
          <w:color w:val="000000" w:themeColor="text1"/>
        </w:rPr>
        <w:t>Prime de coûts variables</w:t>
      </w:r>
      <w:r w:rsidR="00701291" w:rsidRPr="00DA2F93">
        <w:rPr>
          <w:rFonts w:cs="Arial"/>
          <w:color w:val="000000" w:themeColor="text1"/>
        </w:rPr>
        <w:t xml:space="preserve"> </w:t>
      </w:r>
      <w:r w:rsidRPr="00DA2F93">
        <w:rPr>
          <w:rFonts w:cs="Arial"/>
          <w:color w:val="000000" w:themeColor="text1"/>
        </w:rPr>
        <w:t xml:space="preserve">démarre à la date de début des essais précédant la Mise en Service </w:t>
      </w:r>
      <w:r w:rsidR="00F71BC8">
        <w:rPr>
          <w:rFonts w:cs="Arial"/>
          <w:color w:val="000000" w:themeColor="text1"/>
        </w:rPr>
        <w:t>Industrielle</w:t>
      </w:r>
      <w:r w:rsidRPr="00DA2F93">
        <w:rPr>
          <w:rFonts w:cs="Arial"/>
          <w:color w:val="000000" w:themeColor="text1"/>
        </w:rPr>
        <w:t xml:space="preserve"> de l’Installation.</w:t>
      </w:r>
    </w:p>
    <w:p w14:paraId="37540E43" w14:textId="77777777" w:rsidR="0091032A" w:rsidRPr="00DA2F93" w:rsidRDefault="0091032A" w:rsidP="000548E3">
      <w:pPr>
        <w:widowControl w:val="0"/>
        <w:tabs>
          <w:tab w:val="left" w:pos="204"/>
        </w:tabs>
        <w:autoSpaceDE w:val="0"/>
        <w:autoSpaceDN w:val="0"/>
        <w:adjustRightInd w:val="0"/>
        <w:jc w:val="both"/>
      </w:pPr>
    </w:p>
    <w:p w14:paraId="2EB3F5D6" w14:textId="77777777" w:rsidR="0091032A" w:rsidRPr="00DA2F93" w:rsidRDefault="0091032A" w:rsidP="000548E3">
      <w:pPr>
        <w:pStyle w:val="EDFTitre1"/>
        <w:jc w:val="both"/>
      </w:pPr>
      <w:bookmarkStart w:id="92" w:name="_Toc388896073"/>
      <w:bookmarkStart w:id="93" w:name="_Ref491350697"/>
      <w:bookmarkStart w:id="94" w:name="_Toc108113922"/>
      <w:bookmarkStart w:id="95" w:name="_Toc110436452"/>
      <w:r w:rsidRPr="00DA2F93">
        <w:t>Prime de puissance garantie</w:t>
      </w:r>
      <w:bookmarkEnd w:id="92"/>
      <w:bookmarkEnd w:id="93"/>
      <w:bookmarkEnd w:id="94"/>
      <w:bookmarkEnd w:id="95"/>
    </w:p>
    <w:p w14:paraId="48EACFE2" w14:textId="77777777" w:rsidR="00193F56" w:rsidRPr="00DA2F93" w:rsidRDefault="008B0364" w:rsidP="00193F56">
      <w:pPr>
        <w:jc w:val="both"/>
        <w:rPr>
          <w:rFonts w:cs="Arial"/>
        </w:rPr>
      </w:pPr>
      <w:r w:rsidRPr="00DA2F93">
        <w:t xml:space="preserve">La </w:t>
      </w:r>
      <w:r w:rsidRPr="00DA2F93">
        <w:rPr>
          <w:rFonts w:cs="Arial"/>
        </w:rPr>
        <w:t xml:space="preserve">Prime de Puissance Garantie rémunère la </w:t>
      </w:r>
      <w:r w:rsidR="00577143" w:rsidRPr="00DA2F93">
        <w:rPr>
          <w:rFonts w:cs="Arial"/>
        </w:rPr>
        <w:t>disponibilité</w:t>
      </w:r>
      <w:r w:rsidR="00A07432" w:rsidRPr="00DA2F93">
        <w:rPr>
          <w:rFonts w:cs="Arial"/>
        </w:rPr>
        <w:t xml:space="preserve"> de</w:t>
      </w:r>
      <w:r w:rsidRPr="00DA2F93">
        <w:rPr>
          <w:rFonts w:cs="Arial"/>
        </w:rPr>
        <w:t xml:space="preserve"> l’Installation sur la base de ses coûts fixes : </w:t>
      </w:r>
    </w:p>
    <w:p w14:paraId="7335F354" w14:textId="77777777" w:rsidR="00193F56" w:rsidRPr="00DA2F93" w:rsidRDefault="008B0364" w:rsidP="008544B3">
      <w:pPr>
        <w:pStyle w:val="Paragraphedeliste"/>
        <w:numPr>
          <w:ilvl w:val="0"/>
          <w:numId w:val="6"/>
        </w:numPr>
        <w:jc w:val="both"/>
        <w:rPr>
          <w:rFonts w:cs="Arial"/>
        </w:rPr>
      </w:pPr>
      <w:r w:rsidRPr="00DA2F93">
        <w:rPr>
          <w:rFonts w:cs="Arial"/>
        </w:rPr>
        <w:t>remboursement et rémunération des coûts d’investissement initiaux</w:t>
      </w:r>
      <w:r w:rsidR="00193F56" w:rsidRPr="00DA2F93">
        <w:rPr>
          <w:rFonts w:cs="Arial"/>
        </w:rPr>
        <w:t> ;</w:t>
      </w:r>
    </w:p>
    <w:p w14:paraId="77C4E2BC" w14:textId="77777777" w:rsidR="00193F56" w:rsidRPr="00DA2F93" w:rsidRDefault="008B0364" w:rsidP="008544B3">
      <w:pPr>
        <w:pStyle w:val="Paragraphedeliste"/>
        <w:numPr>
          <w:ilvl w:val="0"/>
          <w:numId w:val="6"/>
        </w:numPr>
        <w:jc w:val="both"/>
        <w:rPr>
          <w:rFonts w:cs="Arial"/>
        </w:rPr>
      </w:pPr>
      <w:r w:rsidRPr="00DA2F93">
        <w:rPr>
          <w:rFonts w:cs="Arial"/>
        </w:rPr>
        <w:t xml:space="preserve">compensation des </w:t>
      </w:r>
      <w:r w:rsidR="00193F56" w:rsidRPr="00DA2F93">
        <w:rPr>
          <w:rFonts w:cs="Arial"/>
        </w:rPr>
        <w:t>charges</w:t>
      </w:r>
      <w:r w:rsidRPr="00DA2F93">
        <w:rPr>
          <w:rFonts w:cs="Arial"/>
        </w:rPr>
        <w:t xml:space="preserve"> fixes</w:t>
      </w:r>
      <w:r w:rsidR="00193F56" w:rsidRPr="00DA2F93">
        <w:rPr>
          <w:rFonts w:cs="Arial"/>
        </w:rPr>
        <w:t xml:space="preserve"> d’exploitation et du Gros Entretien </w:t>
      </w:r>
      <w:r w:rsidR="00111810" w:rsidRPr="00DA2F93">
        <w:rPr>
          <w:rFonts w:cs="Arial"/>
        </w:rPr>
        <w:t xml:space="preserve">et </w:t>
      </w:r>
      <w:r w:rsidR="00193F56" w:rsidRPr="00DA2F93">
        <w:rPr>
          <w:rFonts w:cs="Arial"/>
        </w:rPr>
        <w:t>Renouvellement</w:t>
      </w:r>
      <w:r w:rsidRPr="00DA2F93">
        <w:rPr>
          <w:rFonts w:cs="Arial"/>
        </w:rPr>
        <w:t xml:space="preserve">. </w:t>
      </w:r>
    </w:p>
    <w:p w14:paraId="573B4500" w14:textId="35000747" w:rsidR="008B0364" w:rsidRPr="00DA2F93" w:rsidRDefault="008B0364" w:rsidP="008B0364">
      <w:pPr>
        <w:jc w:val="both"/>
        <w:rPr>
          <w:rFonts w:cs="Arial"/>
        </w:rPr>
      </w:pPr>
      <w:r w:rsidRPr="00DA2F93">
        <w:rPr>
          <w:rFonts w:cs="Arial"/>
        </w:rPr>
        <w:t xml:space="preserve">Le système de </w:t>
      </w:r>
      <w:r w:rsidR="00BA1A01" w:rsidRPr="00DA2F93">
        <w:rPr>
          <w:rFonts w:cs="Arial"/>
        </w:rPr>
        <w:t>Bonus-Malus</w:t>
      </w:r>
      <w:r w:rsidRPr="00DA2F93">
        <w:rPr>
          <w:rFonts w:cs="Arial"/>
        </w:rPr>
        <w:t xml:space="preserve"> et de pénalités permet </w:t>
      </w:r>
      <w:r w:rsidR="00673CB8" w:rsidRPr="00DA2F93">
        <w:rPr>
          <w:rFonts w:cs="Arial"/>
        </w:rPr>
        <w:t xml:space="preserve">au </w:t>
      </w:r>
      <w:r w:rsidR="00B361C0">
        <w:rPr>
          <w:rFonts w:cs="Arial"/>
        </w:rPr>
        <w:t>GRT</w:t>
      </w:r>
      <w:r w:rsidRPr="00DA2F93">
        <w:rPr>
          <w:rFonts w:cs="Arial"/>
        </w:rPr>
        <w:t xml:space="preserve"> d’inciter le </w:t>
      </w:r>
      <w:r w:rsidR="00554628" w:rsidRPr="00DA2F93">
        <w:rPr>
          <w:rFonts w:cs="Arial"/>
        </w:rPr>
        <w:t>Stockeur</w:t>
      </w:r>
      <w:r w:rsidRPr="00DA2F93">
        <w:rPr>
          <w:rFonts w:cs="Arial"/>
        </w:rPr>
        <w:t xml:space="preserve"> à faire ses meilleurs efforts pour se conformer aux objectifs contractuels.</w:t>
      </w:r>
    </w:p>
    <w:p w14:paraId="17D2F0D6" w14:textId="77777777" w:rsidR="00661736" w:rsidRPr="00DA2F93" w:rsidRDefault="00661736">
      <w:pPr>
        <w:jc w:val="both"/>
        <w:rPr>
          <w:rFonts w:cs="Arial"/>
        </w:rPr>
      </w:pPr>
    </w:p>
    <w:p w14:paraId="126E016F" w14:textId="77777777" w:rsidR="00A61AE4" w:rsidRPr="00DA2F93" w:rsidRDefault="0091032A" w:rsidP="000548E3">
      <w:pPr>
        <w:pStyle w:val="EDFTitre2"/>
        <w:jc w:val="both"/>
      </w:pPr>
      <w:bookmarkStart w:id="96" w:name="_Toc388896074"/>
      <w:bookmarkStart w:id="97" w:name="_Ref422843908"/>
      <w:bookmarkStart w:id="98" w:name="_Toc108113923"/>
      <w:bookmarkStart w:id="99" w:name="_Toc110436453"/>
      <w:r w:rsidRPr="00DA2F93">
        <w:t>Etablissement de la valeur de référence de la prime de puissance garantie</w:t>
      </w:r>
      <w:bookmarkEnd w:id="96"/>
      <w:bookmarkEnd w:id="97"/>
      <w:bookmarkEnd w:id="98"/>
      <w:bookmarkEnd w:id="99"/>
    </w:p>
    <w:p w14:paraId="2139C1F0" w14:textId="77777777" w:rsidR="0091032A" w:rsidRPr="00DA2F93" w:rsidRDefault="0091032A" w:rsidP="000548E3">
      <w:pPr>
        <w:jc w:val="both"/>
      </w:pPr>
      <w:r w:rsidRPr="00DA2F93">
        <w:t>La valeur de référence de la Prime de Puissance Garantie est déterminée sur la base des données prévisionnelles suivantes :</w:t>
      </w:r>
    </w:p>
    <w:p w14:paraId="3FD1DA05" w14:textId="77777777" w:rsidR="00831C27" w:rsidRPr="00DA2F93" w:rsidRDefault="009E407B" w:rsidP="008544B3">
      <w:pPr>
        <w:pStyle w:val="Paragraphedeliste"/>
        <w:numPr>
          <w:ilvl w:val="0"/>
          <w:numId w:val="6"/>
        </w:numPr>
        <w:ind w:left="357" w:hanging="357"/>
        <w:jc w:val="both"/>
        <w:rPr>
          <w:rFonts w:cs="Arial"/>
        </w:rPr>
      </w:pPr>
      <w:r w:rsidRPr="00DA2F93">
        <w:rPr>
          <w:rFonts w:cs="Arial"/>
        </w:rPr>
        <w:t>Coût</w:t>
      </w:r>
      <w:r w:rsidR="00600594" w:rsidRPr="00DA2F93">
        <w:rPr>
          <w:rFonts w:cs="Arial"/>
        </w:rPr>
        <w:t xml:space="preserve"> d’Investissement, déduction faite des s</w:t>
      </w:r>
      <w:r w:rsidR="00831C27" w:rsidRPr="00DA2F93">
        <w:rPr>
          <w:rFonts w:cs="Arial"/>
        </w:rPr>
        <w:t>ubventions et avantages fiscaux ;</w:t>
      </w:r>
    </w:p>
    <w:p w14:paraId="252C2A91" w14:textId="77777777" w:rsidR="00BD0F51" w:rsidRPr="00DA2F93" w:rsidRDefault="00600594" w:rsidP="008544B3">
      <w:pPr>
        <w:pStyle w:val="Paragraphedeliste"/>
        <w:numPr>
          <w:ilvl w:val="0"/>
          <w:numId w:val="6"/>
        </w:numPr>
        <w:ind w:left="357" w:hanging="357"/>
        <w:jc w:val="both"/>
        <w:rPr>
          <w:rFonts w:cs="Arial"/>
        </w:rPr>
      </w:pPr>
      <w:r w:rsidRPr="00DA2F93">
        <w:rPr>
          <w:rFonts w:cs="Arial"/>
        </w:rPr>
        <w:t>Charges</w:t>
      </w:r>
      <w:r w:rsidR="0091032A" w:rsidRPr="00DA2F93">
        <w:rPr>
          <w:rFonts w:cs="Arial"/>
        </w:rPr>
        <w:t xml:space="preserve"> fixes </w:t>
      </w:r>
      <w:r w:rsidRPr="00DA2F93">
        <w:rPr>
          <w:rFonts w:cs="Arial"/>
        </w:rPr>
        <w:t xml:space="preserve">annuelles </w:t>
      </w:r>
      <w:r w:rsidR="0091032A" w:rsidRPr="00DA2F93">
        <w:rPr>
          <w:rFonts w:cs="Arial"/>
        </w:rPr>
        <w:t>d’exploitation</w:t>
      </w:r>
      <w:r w:rsidR="00BD0F51" w:rsidRPr="00DA2F93">
        <w:rPr>
          <w:rFonts w:cs="Arial"/>
        </w:rPr>
        <w:t>;</w:t>
      </w:r>
    </w:p>
    <w:p w14:paraId="2A69B3C0" w14:textId="408CEA59" w:rsidR="008B0364" w:rsidRDefault="008B0364" w:rsidP="008544B3">
      <w:pPr>
        <w:pStyle w:val="Paragraphedeliste"/>
        <w:numPr>
          <w:ilvl w:val="0"/>
          <w:numId w:val="6"/>
        </w:numPr>
        <w:ind w:left="357" w:hanging="357"/>
        <w:jc w:val="both"/>
        <w:rPr>
          <w:rFonts w:cs="Arial"/>
        </w:rPr>
      </w:pPr>
      <w:r w:rsidRPr="00DA2F93">
        <w:rPr>
          <w:rFonts w:cs="Arial"/>
        </w:rPr>
        <w:t xml:space="preserve">Gros Entretien </w:t>
      </w:r>
      <w:r w:rsidR="00111810" w:rsidRPr="00DA2F93">
        <w:rPr>
          <w:rFonts w:cs="Arial"/>
        </w:rPr>
        <w:t xml:space="preserve">et </w:t>
      </w:r>
      <w:r w:rsidRPr="00DA2F93">
        <w:rPr>
          <w:rFonts w:cs="Arial"/>
        </w:rPr>
        <w:t xml:space="preserve">Renouvellement </w:t>
      </w:r>
      <w:r w:rsidR="00493567">
        <w:rPr>
          <w:rFonts w:cs="Arial"/>
        </w:rPr>
        <w:t xml:space="preserve">annualisé </w:t>
      </w:r>
      <w:r w:rsidRPr="00DA2F93">
        <w:rPr>
          <w:rFonts w:cs="Arial"/>
        </w:rPr>
        <w:t>(GER) ;</w:t>
      </w:r>
    </w:p>
    <w:p w14:paraId="3FEAC57D" w14:textId="54D64C6B" w:rsidR="00493567" w:rsidRPr="00DA2F93" w:rsidRDefault="00493567" w:rsidP="008544B3">
      <w:pPr>
        <w:pStyle w:val="Paragraphedeliste"/>
        <w:numPr>
          <w:ilvl w:val="0"/>
          <w:numId w:val="6"/>
        </w:numPr>
        <w:ind w:left="357" w:hanging="357"/>
        <w:jc w:val="both"/>
        <w:rPr>
          <w:rFonts w:cs="Arial"/>
        </w:rPr>
      </w:pPr>
      <w:r>
        <w:rPr>
          <w:rFonts w:cs="Arial"/>
        </w:rPr>
        <w:t>Démantèlement</w:t>
      </w:r>
      <w:r w:rsidR="006833A5">
        <w:rPr>
          <w:rFonts w:cs="Arial"/>
        </w:rPr>
        <w:t xml:space="preserve"> provisionné sur 12 ans </w:t>
      </w:r>
      <w:r>
        <w:rPr>
          <w:rFonts w:cs="Arial"/>
        </w:rPr>
        <w:t>(voir §26) ;</w:t>
      </w:r>
    </w:p>
    <w:p w14:paraId="342193A2" w14:textId="77777777" w:rsidR="0091032A" w:rsidRPr="00DA2F93" w:rsidRDefault="004B2123" w:rsidP="008544B3">
      <w:pPr>
        <w:pStyle w:val="Paragraphedeliste"/>
        <w:numPr>
          <w:ilvl w:val="0"/>
          <w:numId w:val="6"/>
        </w:numPr>
        <w:ind w:left="357" w:hanging="357"/>
        <w:jc w:val="both"/>
        <w:rPr>
          <w:rFonts w:cs="Arial"/>
        </w:rPr>
      </w:pPr>
      <w:r w:rsidRPr="00DA2F93">
        <w:rPr>
          <w:rFonts w:cs="Arial"/>
        </w:rPr>
        <w:t>Besoin en Fond</w:t>
      </w:r>
      <w:r w:rsidR="006D285C" w:rsidRPr="00DA2F93">
        <w:rPr>
          <w:rFonts w:cs="Arial"/>
        </w:rPr>
        <w:t>s</w:t>
      </w:r>
      <w:r w:rsidRPr="00DA2F93">
        <w:rPr>
          <w:rFonts w:cs="Arial"/>
        </w:rPr>
        <w:t xml:space="preserve"> de </w:t>
      </w:r>
      <w:r w:rsidR="00B973A4" w:rsidRPr="00DA2F93">
        <w:rPr>
          <w:rFonts w:cs="Arial"/>
        </w:rPr>
        <w:t>R</w:t>
      </w:r>
      <w:r w:rsidR="0091032A" w:rsidRPr="00DA2F93">
        <w:rPr>
          <w:rFonts w:cs="Arial"/>
        </w:rPr>
        <w:t>oulement</w:t>
      </w:r>
      <w:r w:rsidR="00D40E7B" w:rsidRPr="00DA2F93">
        <w:rPr>
          <w:rFonts w:cs="Arial"/>
        </w:rPr>
        <w:t xml:space="preserve"> (BFR)</w:t>
      </w:r>
      <w:r w:rsidR="00021BC6" w:rsidRPr="00DA2F93">
        <w:rPr>
          <w:rFonts w:cs="Arial"/>
        </w:rPr>
        <w:t> ;</w:t>
      </w:r>
    </w:p>
    <w:p w14:paraId="07298140" w14:textId="6FCA7B81" w:rsidR="00585248" w:rsidRPr="00DA2F93" w:rsidRDefault="008B0364" w:rsidP="00585248">
      <w:pPr>
        <w:jc w:val="both"/>
      </w:pPr>
      <w:r w:rsidRPr="00DA2F93">
        <w:t xml:space="preserve">La </w:t>
      </w:r>
      <w:r w:rsidR="00E0707A">
        <w:t>valeur</w:t>
      </w:r>
      <w:r w:rsidR="007D3507">
        <w:t xml:space="preserve"> </w:t>
      </w:r>
      <w:r w:rsidR="000575EC">
        <w:t>de référence initiale</w:t>
      </w:r>
      <w:r w:rsidR="00E0707A">
        <w:t xml:space="preserve"> de la </w:t>
      </w:r>
      <w:r w:rsidRPr="00DA2F93">
        <w:t xml:space="preserve">Prime de Puissance Garantie sera définitivement établie une fois la Mise en Service </w:t>
      </w:r>
      <w:r w:rsidR="00F71BC8">
        <w:t>Industrielle</w:t>
      </w:r>
      <w:r w:rsidRPr="00DA2F93">
        <w:t xml:space="preserve"> de l’Installation effectuée </w:t>
      </w:r>
      <w:r w:rsidR="00AE0C95" w:rsidRPr="00DA2F93">
        <w:t xml:space="preserve">selon les modalités du </w:t>
      </w:r>
      <w:r w:rsidR="00AE0C95" w:rsidRPr="00DA2F93">
        <w:rPr>
          <w:rFonts w:cs="Arial"/>
          <w:iCs/>
        </w:rPr>
        <w:t>§</w:t>
      </w:r>
      <w:r w:rsidRPr="00DA2F93">
        <w:t xml:space="preserve"> </w:t>
      </w:r>
      <w:r w:rsidR="00C71C22" w:rsidRPr="00DA2F93">
        <w:fldChar w:fldCharType="begin"/>
      </w:r>
      <w:r w:rsidR="00C71C22" w:rsidRPr="00DA2F93">
        <w:instrText xml:space="preserve"> REF _Ref379045286 \r \h  \* MERGEFORMAT </w:instrText>
      </w:r>
      <w:r w:rsidR="00C71C22" w:rsidRPr="00DA2F93">
        <w:fldChar w:fldCharType="separate"/>
      </w:r>
      <w:r w:rsidR="0042414D">
        <w:t>9.1.2</w:t>
      </w:r>
      <w:r w:rsidR="00C71C22" w:rsidRPr="00DA2F93">
        <w:fldChar w:fldCharType="end"/>
      </w:r>
      <w:r w:rsidRPr="00DA2F93">
        <w:t>.</w:t>
      </w:r>
    </w:p>
    <w:p w14:paraId="45053140" w14:textId="77777777" w:rsidR="009E407B" w:rsidRPr="00DA2F93" w:rsidRDefault="009A3C9E" w:rsidP="000548E3">
      <w:pPr>
        <w:pStyle w:val="EDFTitre3"/>
        <w:widowControl w:val="0"/>
        <w:autoSpaceDE w:val="0"/>
        <w:autoSpaceDN w:val="0"/>
        <w:adjustRightInd w:val="0"/>
        <w:ind w:right="55"/>
        <w:jc w:val="both"/>
      </w:pPr>
      <w:bookmarkStart w:id="100" w:name="_Toc108113924"/>
      <w:bookmarkStart w:id="101" w:name="_Toc108158440"/>
      <w:bookmarkStart w:id="102" w:name="_Toc108158549"/>
      <w:bookmarkStart w:id="103" w:name="_Toc108174259"/>
      <w:bookmarkStart w:id="104" w:name="_Toc108174370"/>
      <w:bookmarkStart w:id="105" w:name="_Toc108174490"/>
      <w:bookmarkStart w:id="106" w:name="_Toc108174655"/>
      <w:bookmarkStart w:id="107" w:name="_Toc108185069"/>
      <w:bookmarkStart w:id="108" w:name="_Toc388896075"/>
      <w:bookmarkStart w:id="109" w:name="_Toc108113925"/>
      <w:bookmarkStart w:id="110" w:name="_Toc110436454"/>
      <w:bookmarkEnd w:id="100"/>
      <w:bookmarkEnd w:id="101"/>
      <w:bookmarkEnd w:id="102"/>
      <w:bookmarkEnd w:id="103"/>
      <w:bookmarkEnd w:id="104"/>
      <w:bookmarkEnd w:id="105"/>
      <w:bookmarkEnd w:id="106"/>
      <w:bookmarkEnd w:id="107"/>
      <w:r w:rsidRPr="00DA2F93">
        <w:t>Valeur</w:t>
      </w:r>
      <w:r w:rsidR="009E407B" w:rsidRPr="00DA2F93">
        <w:t xml:space="preserve"> </w:t>
      </w:r>
      <w:r w:rsidR="002B17A5" w:rsidRPr="00DA2F93">
        <w:t xml:space="preserve">initiale </w:t>
      </w:r>
      <w:r w:rsidR="00594FCD" w:rsidRPr="00DA2F93">
        <w:t>de la Prime de Puissance G</w:t>
      </w:r>
      <w:r w:rsidR="009E407B" w:rsidRPr="00DA2F93">
        <w:t>arantie</w:t>
      </w:r>
      <w:bookmarkEnd w:id="108"/>
      <w:bookmarkEnd w:id="109"/>
      <w:bookmarkEnd w:id="110"/>
    </w:p>
    <w:p w14:paraId="733F389E" w14:textId="77777777" w:rsidR="00316167" w:rsidRPr="00DA2F93" w:rsidRDefault="0028215C" w:rsidP="00316167">
      <w:pPr>
        <w:pStyle w:val="corpsdetexte0"/>
        <w:suppressAutoHyphens/>
        <w:rPr>
          <w:rFonts w:ascii="Arial" w:hAnsi="Arial"/>
          <w:sz w:val="22"/>
          <w:szCs w:val="22"/>
        </w:rPr>
      </w:pPr>
      <w:r w:rsidRPr="00DA2F93">
        <w:rPr>
          <w:rFonts w:ascii="Arial" w:hAnsi="Arial"/>
          <w:sz w:val="22"/>
          <w:szCs w:val="22"/>
        </w:rPr>
        <w:t>La</w:t>
      </w:r>
      <w:r w:rsidR="00EE3D00" w:rsidRPr="00DA2F93">
        <w:rPr>
          <w:rFonts w:ascii="Arial" w:hAnsi="Arial"/>
          <w:sz w:val="22"/>
          <w:szCs w:val="22"/>
        </w:rPr>
        <w:t xml:space="preserve"> valeur de référence initiale et prévisionnelle de la Prime de Puissance Garantie (PPG</w:t>
      </w:r>
      <w:r w:rsidR="00EE3D00" w:rsidRPr="00DA2F93">
        <w:rPr>
          <w:rFonts w:ascii="Arial" w:hAnsi="Arial"/>
          <w:sz w:val="22"/>
          <w:szCs w:val="22"/>
          <w:vertAlign w:val="subscript"/>
        </w:rPr>
        <w:t>0</w:t>
      </w:r>
      <w:r w:rsidR="00EE3D00" w:rsidRPr="00DA2F93">
        <w:rPr>
          <w:rFonts w:ascii="Arial" w:hAnsi="Arial"/>
          <w:sz w:val="22"/>
          <w:szCs w:val="22"/>
        </w:rPr>
        <w:t xml:space="preserve">) a été définie par la formule suivante : </w:t>
      </w:r>
    </w:p>
    <w:p w14:paraId="5B6BF377" w14:textId="49FE680E" w:rsidR="00316167" w:rsidRPr="00DA2F93" w:rsidRDefault="00EE3D00" w:rsidP="00316167">
      <w:pPr>
        <w:pStyle w:val="corpsdetexte0"/>
        <w:suppressAutoHyphens/>
        <w:rPr>
          <w:rFonts w:ascii="Arial" w:hAnsi="Arial"/>
          <w:b/>
          <w:sz w:val="22"/>
          <w:szCs w:val="22"/>
        </w:rPr>
      </w:pPr>
      <w:r w:rsidRPr="00DA2F93">
        <w:rPr>
          <w:rFonts w:ascii="Arial" w:hAnsi="Arial"/>
          <w:b/>
          <w:sz w:val="22"/>
          <w:szCs w:val="22"/>
        </w:rPr>
        <w:t>PPG</w:t>
      </w:r>
      <w:r w:rsidRPr="00DA2F93">
        <w:rPr>
          <w:rFonts w:ascii="Arial" w:hAnsi="Arial"/>
          <w:b/>
          <w:sz w:val="22"/>
          <w:szCs w:val="22"/>
          <w:vertAlign w:val="subscript"/>
        </w:rPr>
        <w:t>0</w:t>
      </w:r>
      <w:r w:rsidRPr="00DA2F93">
        <w:rPr>
          <w:rFonts w:ascii="Arial" w:hAnsi="Arial"/>
          <w:b/>
          <w:sz w:val="22"/>
          <w:szCs w:val="22"/>
        </w:rPr>
        <w:t xml:space="preserve"> = (</w:t>
      </w:r>
      <w:proofErr w:type="spellStart"/>
      <w:r w:rsidRPr="00DA2F93">
        <w:rPr>
          <w:rFonts w:ascii="Arial" w:hAnsi="Arial"/>
          <w:b/>
          <w:sz w:val="22"/>
          <w:szCs w:val="22"/>
        </w:rPr>
        <w:t>Ip</w:t>
      </w:r>
      <w:proofErr w:type="spellEnd"/>
      <w:r w:rsidRPr="00DA2F93">
        <w:rPr>
          <w:rFonts w:ascii="Arial" w:hAnsi="Arial"/>
          <w:b/>
          <w:sz w:val="22"/>
          <w:szCs w:val="22"/>
        </w:rPr>
        <w:t xml:space="preserve"> – </w:t>
      </w:r>
      <w:proofErr w:type="spellStart"/>
      <w:r w:rsidRPr="00DA2F93">
        <w:rPr>
          <w:rFonts w:ascii="Arial" w:hAnsi="Arial"/>
          <w:b/>
          <w:sz w:val="22"/>
          <w:szCs w:val="22"/>
        </w:rPr>
        <w:t>Sp</w:t>
      </w:r>
      <w:proofErr w:type="spellEnd"/>
      <w:r w:rsidRPr="00DA2F93">
        <w:rPr>
          <w:rFonts w:ascii="Arial" w:hAnsi="Arial"/>
          <w:b/>
          <w:sz w:val="22"/>
          <w:szCs w:val="22"/>
        </w:rPr>
        <w:t>) * Taux de rémunération + (</w:t>
      </w:r>
      <w:proofErr w:type="spellStart"/>
      <w:r w:rsidRPr="00DA2F93">
        <w:rPr>
          <w:rFonts w:ascii="Arial" w:hAnsi="Arial"/>
          <w:b/>
          <w:sz w:val="22"/>
          <w:szCs w:val="22"/>
        </w:rPr>
        <w:t>Ip</w:t>
      </w:r>
      <w:proofErr w:type="spellEnd"/>
      <w:r w:rsidRPr="00DA2F93">
        <w:rPr>
          <w:rFonts w:ascii="Arial" w:hAnsi="Arial"/>
          <w:b/>
          <w:sz w:val="22"/>
          <w:szCs w:val="22"/>
        </w:rPr>
        <w:t xml:space="preserve"> – </w:t>
      </w:r>
      <w:proofErr w:type="spellStart"/>
      <w:r w:rsidRPr="00DA2F93">
        <w:rPr>
          <w:rFonts w:ascii="Arial" w:hAnsi="Arial"/>
          <w:b/>
          <w:sz w:val="22"/>
          <w:szCs w:val="22"/>
        </w:rPr>
        <w:t>Sp</w:t>
      </w:r>
      <w:proofErr w:type="spellEnd"/>
      <w:r w:rsidRPr="00DA2F93">
        <w:rPr>
          <w:rFonts w:ascii="Arial" w:hAnsi="Arial"/>
          <w:b/>
          <w:sz w:val="22"/>
          <w:szCs w:val="22"/>
        </w:rPr>
        <w:t xml:space="preserve">) * (1/durée d’amortissement de l’Installation) + charges fixes annuelles d’exploitation + GER + </w:t>
      </w:r>
      <w:r w:rsidR="00493567">
        <w:rPr>
          <w:rFonts w:ascii="Arial" w:hAnsi="Arial"/>
          <w:b/>
          <w:sz w:val="22"/>
          <w:szCs w:val="22"/>
        </w:rPr>
        <w:t xml:space="preserve">Démantèlement + </w:t>
      </w:r>
      <w:r w:rsidRPr="00DA2F93">
        <w:rPr>
          <w:rFonts w:ascii="Arial" w:hAnsi="Arial"/>
          <w:b/>
          <w:sz w:val="22"/>
          <w:szCs w:val="22"/>
        </w:rPr>
        <w:t>BFR * Taux de rémunération</w:t>
      </w:r>
    </w:p>
    <w:p w14:paraId="54B0A71F" w14:textId="77777777" w:rsidR="00855A5D" w:rsidRDefault="00855A5D" w:rsidP="00316167">
      <w:pPr>
        <w:pStyle w:val="corpsdetexte0"/>
        <w:suppressAutoHyphens/>
        <w:rPr>
          <w:rFonts w:ascii="Arial" w:hAnsi="Arial"/>
          <w:sz w:val="22"/>
          <w:szCs w:val="22"/>
        </w:rPr>
      </w:pPr>
    </w:p>
    <w:p w14:paraId="576815FD" w14:textId="77777777" w:rsidR="00316167" w:rsidRPr="00DA2F93" w:rsidRDefault="00EE3D00" w:rsidP="00316167">
      <w:pPr>
        <w:pStyle w:val="corpsdetexte0"/>
        <w:suppressAutoHyphens/>
        <w:rPr>
          <w:rFonts w:ascii="Arial" w:hAnsi="Arial"/>
          <w:sz w:val="22"/>
          <w:szCs w:val="22"/>
        </w:rPr>
      </w:pPr>
      <w:r w:rsidRPr="00DA2F93">
        <w:rPr>
          <w:rFonts w:ascii="Arial" w:hAnsi="Arial"/>
          <w:sz w:val="22"/>
          <w:szCs w:val="22"/>
        </w:rPr>
        <w:t>Avec :</w:t>
      </w:r>
    </w:p>
    <w:p w14:paraId="4F206B1E" w14:textId="308627D1" w:rsidR="00316167" w:rsidRPr="00DA2F93" w:rsidRDefault="00DA7BAB" w:rsidP="008544B3">
      <w:pPr>
        <w:pStyle w:val="corpsdetexte0"/>
        <w:numPr>
          <w:ilvl w:val="0"/>
          <w:numId w:val="12"/>
        </w:numPr>
        <w:suppressAutoHyphens/>
        <w:rPr>
          <w:rFonts w:ascii="Arial" w:hAnsi="Arial"/>
          <w:sz w:val="22"/>
          <w:szCs w:val="22"/>
        </w:rPr>
      </w:pPr>
      <w:proofErr w:type="spellStart"/>
      <w:r w:rsidRPr="00DA2F93">
        <w:rPr>
          <w:rFonts w:ascii="Arial" w:hAnsi="Arial"/>
          <w:sz w:val="22"/>
          <w:szCs w:val="22"/>
        </w:rPr>
        <w:t>Ip</w:t>
      </w:r>
      <w:proofErr w:type="spellEnd"/>
      <w:r w:rsidRPr="00DA2F93">
        <w:rPr>
          <w:rFonts w:ascii="Arial" w:hAnsi="Arial"/>
          <w:sz w:val="22"/>
          <w:szCs w:val="22"/>
        </w:rPr>
        <w:t xml:space="preserve"> : </w:t>
      </w:r>
      <w:r w:rsidR="00EE3D00" w:rsidRPr="00DA2F93">
        <w:rPr>
          <w:rFonts w:ascii="Arial" w:hAnsi="Arial"/>
          <w:sz w:val="22"/>
          <w:szCs w:val="22"/>
        </w:rPr>
        <w:t xml:space="preserve">Coût d’investissement </w:t>
      </w:r>
      <w:proofErr w:type="gramStart"/>
      <w:r w:rsidR="00EE3D00" w:rsidRPr="00DA2F93">
        <w:rPr>
          <w:rFonts w:ascii="Arial" w:hAnsi="Arial"/>
          <w:sz w:val="22"/>
          <w:szCs w:val="22"/>
        </w:rPr>
        <w:t>projeté ,</w:t>
      </w:r>
      <w:proofErr w:type="gramEnd"/>
      <w:r w:rsidR="00EE3D00" w:rsidRPr="00DA2F93">
        <w:rPr>
          <w:rFonts w:ascii="Arial" w:hAnsi="Arial"/>
          <w:sz w:val="22"/>
          <w:szCs w:val="22"/>
        </w:rPr>
        <w:t xml:space="preserve"> soit </w:t>
      </w:r>
      <w:proofErr w:type="spellStart"/>
      <w:r w:rsidR="00EE3D00" w:rsidRPr="00DA2F93">
        <w:rPr>
          <w:rFonts w:ascii="Arial" w:hAnsi="Arial"/>
          <w:b/>
          <w:sz w:val="22"/>
          <w:szCs w:val="22"/>
        </w:rPr>
        <w:t>Ip</w:t>
      </w:r>
      <w:proofErr w:type="spellEnd"/>
      <w:r w:rsidR="00EE3D00" w:rsidRPr="00DA2F93">
        <w:rPr>
          <w:rFonts w:ascii="Arial" w:hAnsi="Arial"/>
          <w:b/>
          <w:sz w:val="22"/>
          <w:szCs w:val="22"/>
        </w:rPr>
        <w:t xml:space="preserve"> = </w:t>
      </w:r>
      <w:r w:rsidR="003F3A8D" w:rsidRPr="000243CB">
        <w:rPr>
          <w:rFonts w:ascii="Arial" w:hAnsi="Arial"/>
          <w:b/>
          <w:sz w:val="22"/>
          <w:szCs w:val="22"/>
          <w:highlight w:val="lightGray"/>
        </w:rPr>
        <w:t>XXX</w:t>
      </w:r>
      <w:r w:rsidR="00EE3D00" w:rsidRPr="00DA2F93">
        <w:rPr>
          <w:rFonts w:ascii="Arial" w:hAnsi="Arial"/>
          <w:b/>
          <w:sz w:val="22"/>
          <w:szCs w:val="22"/>
        </w:rPr>
        <w:t xml:space="preserve"> </w:t>
      </w:r>
      <w:r w:rsidR="003A3709">
        <w:rPr>
          <w:rFonts w:ascii="Arial" w:hAnsi="Arial"/>
          <w:b/>
          <w:sz w:val="22"/>
          <w:szCs w:val="22"/>
        </w:rPr>
        <w:t>F CFP</w:t>
      </w:r>
      <w:r w:rsidR="00EE3D00" w:rsidRPr="00DA2F93">
        <w:rPr>
          <w:rFonts w:ascii="Arial" w:hAnsi="Arial"/>
          <w:b/>
          <w:sz w:val="22"/>
          <w:szCs w:val="22"/>
        </w:rPr>
        <w:t xml:space="preserve"> HT</w:t>
      </w:r>
      <w:r w:rsidR="00B96F6B" w:rsidRPr="00DA2F93">
        <w:rPr>
          <w:rFonts w:ascii="Arial" w:hAnsi="Arial"/>
          <w:sz w:val="22"/>
          <w:szCs w:val="22"/>
        </w:rPr>
        <w:t xml:space="preserve">(valeur Date de référence) </w:t>
      </w:r>
      <w:r w:rsidR="00EE3D00" w:rsidRPr="00DA2F93">
        <w:rPr>
          <w:rFonts w:ascii="Arial" w:hAnsi="Arial"/>
          <w:b/>
          <w:sz w:val="22"/>
          <w:szCs w:val="22"/>
        </w:rPr>
        <w:t xml:space="preserve"> </w:t>
      </w:r>
      <w:r w:rsidR="00EE3D00" w:rsidRPr="00DA2F93">
        <w:rPr>
          <w:rFonts w:ascii="Arial" w:hAnsi="Arial"/>
          <w:sz w:val="22"/>
          <w:szCs w:val="22"/>
        </w:rPr>
        <w:t>;</w:t>
      </w:r>
    </w:p>
    <w:p w14:paraId="29BA406E" w14:textId="33669C40" w:rsidR="00316167" w:rsidRPr="00DA2F93" w:rsidRDefault="00DA7BAB" w:rsidP="008544B3">
      <w:pPr>
        <w:pStyle w:val="corpsdetexte0"/>
        <w:numPr>
          <w:ilvl w:val="0"/>
          <w:numId w:val="12"/>
        </w:numPr>
        <w:suppressAutoHyphens/>
        <w:rPr>
          <w:rFonts w:ascii="Arial" w:hAnsi="Arial"/>
          <w:sz w:val="22"/>
          <w:szCs w:val="22"/>
        </w:rPr>
      </w:pPr>
      <w:proofErr w:type="spellStart"/>
      <w:r w:rsidRPr="00DA2F93">
        <w:rPr>
          <w:rFonts w:ascii="Arial" w:hAnsi="Arial"/>
          <w:sz w:val="22"/>
          <w:szCs w:val="22"/>
        </w:rPr>
        <w:t>Sp</w:t>
      </w:r>
      <w:proofErr w:type="spellEnd"/>
      <w:r w:rsidRPr="00DA2F93">
        <w:rPr>
          <w:rFonts w:ascii="Arial" w:hAnsi="Arial"/>
          <w:sz w:val="22"/>
          <w:szCs w:val="22"/>
        </w:rPr>
        <w:t xml:space="preserve"> : </w:t>
      </w:r>
      <w:r w:rsidR="00EE3D00" w:rsidRPr="00DA2F93">
        <w:rPr>
          <w:rFonts w:ascii="Arial" w:hAnsi="Arial"/>
          <w:sz w:val="22"/>
          <w:szCs w:val="22"/>
        </w:rPr>
        <w:t xml:space="preserve">Montant des subventions et crédits d’impôt projeté : </w:t>
      </w:r>
      <w:proofErr w:type="spellStart"/>
      <w:r w:rsidR="00EE3D00" w:rsidRPr="00DA2F93">
        <w:rPr>
          <w:rFonts w:ascii="Arial" w:hAnsi="Arial"/>
          <w:b/>
          <w:sz w:val="22"/>
          <w:szCs w:val="22"/>
        </w:rPr>
        <w:t>Sp</w:t>
      </w:r>
      <w:proofErr w:type="spellEnd"/>
      <w:r w:rsidR="00EE3D00" w:rsidRPr="00DA2F93">
        <w:rPr>
          <w:rFonts w:ascii="Arial" w:hAnsi="Arial"/>
          <w:b/>
          <w:sz w:val="22"/>
          <w:szCs w:val="22"/>
        </w:rPr>
        <w:t xml:space="preserve"> = </w:t>
      </w:r>
      <w:r w:rsidR="003F3A8D" w:rsidRPr="00DA2F93">
        <w:rPr>
          <w:rFonts w:ascii="Arial" w:hAnsi="Arial"/>
          <w:b/>
          <w:sz w:val="22"/>
          <w:szCs w:val="22"/>
        </w:rPr>
        <w:t>XXX</w:t>
      </w:r>
      <w:r w:rsidR="00EE3D00" w:rsidRPr="00DA2F93">
        <w:rPr>
          <w:rFonts w:ascii="Arial" w:hAnsi="Arial"/>
          <w:b/>
          <w:sz w:val="22"/>
          <w:szCs w:val="22"/>
        </w:rPr>
        <w:t xml:space="preserve"> </w:t>
      </w:r>
      <w:r w:rsidR="003A3709">
        <w:rPr>
          <w:rFonts w:ascii="Arial" w:hAnsi="Arial"/>
          <w:b/>
          <w:sz w:val="22"/>
          <w:szCs w:val="22"/>
        </w:rPr>
        <w:t>F CFP</w:t>
      </w:r>
      <w:r w:rsidR="00EE3D00" w:rsidRPr="00DA2F93">
        <w:rPr>
          <w:rFonts w:ascii="Arial" w:hAnsi="Arial"/>
          <w:b/>
          <w:sz w:val="22"/>
          <w:szCs w:val="22"/>
        </w:rPr>
        <w:t xml:space="preserve"> HT</w:t>
      </w:r>
      <w:r w:rsidR="00EE3D00" w:rsidRPr="00DA2F93">
        <w:rPr>
          <w:rFonts w:ascii="Arial" w:hAnsi="Arial"/>
          <w:sz w:val="22"/>
          <w:szCs w:val="22"/>
        </w:rPr>
        <w:t xml:space="preserve"> </w:t>
      </w:r>
      <w:r w:rsidR="00B96F6B" w:rsidRPr="00DA2F93">
        <w:rPr>
          <w:rFonts w:ascii="Arial" w:hAnsi="Arial"/>
          <w:sz w:val="22"/>
          <w:szCs w:val="22"/>
        </w:rPr>
        <w:t>(valeur Date de référence</w:t>
      </w:r>
      <w:proofErr w:type="gramStart"/>
      <w:r w:rsidR="00B96F6B" w:rsidRPr="00DA2F93">
        <w:rPr>
          <w:rFonts w:ascii="Arial" w:hAnsi="Arial"/>
          <w:sz w:val="22"/>
          <w:szCs w:val="22"/>
        </w:rPr>
        <w:t xml:space="preserve">) </w:t>
      </w:r>
      <w:r w:rsidR="00EE3D00" w:rsidRPr="00DA2F93">
        <w:rPr>
          <w:rFonts w:ascii="Arial" w:hAnsi="Arial"/>
          <w:sz w:val="22"/>
          <w:szCs w:val="22"/>
        </w:rPr>
        <w:t xml:space="preserve"> ;</w:t>
      </w:r>
      <w:proofErr w:type="gramEnd"/>
      <w:r w:rsidR="00EE3D00" w:rsidRPr="00DA2F93">
        <w:rPr>
          <w:rFonts w:ascii="Arial" w:hAnsi="Arial"/>
          <w:sz w:val="22"/>
          <w:szCs w:val="22"/>
        </w:rPr>
        <w:t xml:space="preserve"> </w:t>
      </w:r>
    </w:p>
    <w:p w14:paraId="531BD496" w14:textId="46B718AB" w:rsidR="00316167" w:rsidRPr="00DA2F93" w:rsidRDefault="00EE3D00" w:rsidP="008544B3">
      <w:pPr>
        <w:pStyle w:val="corpsdetexte0"/>
        <w:numPr>
          <w:ilvl w:val="0"/>
          <w:numId w:val="12"/>
        </w:numPr>
        <w:suppressAutoHyphens/>
        <w:rPr>
          <w:rFonts w:ascii="Arial" w:hAnsi="Arial"/>
          <w:sz w:val="22"/>
          <w:szCs w:val="22"/>
        </w:rPr>
      </w:pPr>
      <w:r w:rsidRPr="00DA2F93">
        <w:rPr>
          <w:rFonts w:ascii="Arial" w:hAnsi="Arial"/>
          <w:sz w:val="22"/>
          <w:szCs w:val="22"/>
        </w:rPr>
        <w:lastRenderedPageBreak/>
        <w:t>Durée d’amor</w:t>
      </w:r>
      <w:r w:rsidR="00453B1E" w:rsidRPr="00DA2F93">
        <w:rPr>
          <w:rFonts w:ascii="Arial" w:hAnsi="Arial"/>
          <w:sz w:val="22"/>
          <w:szCs w:val="22"/>
        </w:rPr>
        <w:t xml:space="preserve">tissement de l’Installation = </w:t>
      </w:r>
      <w:r w:rsidR="007E6A80">
        <w:rPr>
          <w:rFonts w:ascii="Arial" w:hAnsi="Arial"/>
          <w:sz w:val="22"/>
          <w:szCs w:val="22"/>
        </w:rPr>
        <w:t>12</w:t>
      </w:r>
      <w:r w:rsidR="007E6A80" w:rsidRPr="00803E42">
        <w:rPr>
          <w:rFonts w:ascii="Arial" w:hAnsi="Arial"/>
          <w:sz w:val="22"/>
          <w:szCs w:val="22"/>
        </w:rPr>
        <w:t xml:space="preserve"> </w:t>
      </w:r>
      <w:r w:rsidRPr="00803E42">
        <w:rPr>
          <w:rFonts w:ascii="Arial" w:hAnsi="Arial"/>
          <w:sz w:val="22"/>
          <w:szCs w:val="22"/>
        </w:rPr>
        <w:t>ans</w:t>
      </w:r>
      <w:r w:rsidRPr="00DA2F93">
        <w:rPr>
          <w:rFonts w:ascii="Arial" w:hAnsi="Arial"/>
          <w:sz w:val="22"/>
          <w:szCs w:val="22"/>
        </w:rPr>
        <w:t xml:space="preserve"> ;</w:t>
      </w:r>
    </w:p>
    <w:p w14:paraId="6DB751CF" w14:textId="693D67BD" w:rsidR="00316167" w:rsidRPr="00DA2F93" w:rsidRDefault="00EE3D00" w:rsidP="008544B3">
      <w:pPr>
        <w:pStyle w:val="corpsdetexte0"/>
        <w:numPr>
          <w:ilvl w:val="0"/>
          <w:numId w:val="12"/>
        </w:numPr>
        <w:suppressAutoHyphens/>
        <w:rPr>
          <w:rFonts w:ascii="Arial" w:hAnsi="Arial"/>
          <w:sz w:val="22"/>
          <w:szCs w:val="22"/>
        </w:rPr>
      </w:pPr>
      <w:r w:rsidRPr="00DA2F93">
        <w:rPr>
          <w:rFonts w:ascii="Arial" w:hAnsi="Arial"/>
          <w:sz w:val="22"/>
          <w:szCs w:val="22"/>
        </w:rPr>
        <w:t xml:space="preserve">Charges fixes annuelles d’exploitation projetées : </w:t>
      </w:r>
      <w:r w:rsidR="003F3A8D" w:rsidRPr="000243CB">
        <w:rPr>
          <w:rFonts w:ascii="Arial" w:hAnsi="Arial"/>
          <w:sz w:val="22"/>
          <w:szCs w:val="22"/>
          <w:highlight w:val="lightGray"/>
        </w:rPr>
        <w:t>XXX</w:t>
      </w:r>
      <w:r w:rsidRPr="00DA2F93">
        <w:rPr>
          <w:rFonts w:ascii="Arial" w:hAnsi="Arial"/>
          <w:sz w:val="22"/>
          <w:szCs w:val="22"/>
        </w:rPr>
        <w:t xml:space="preserve"> </w:t>
      </w:r>
      <w:r w:rsidR="003A3709">
        <w:rPr>
          <w:rFonts w:ascii="Arial" w:hAnsi="Arial"/>
          <w:b/>
          <w:sz w:val="22"/>
          <w:szCs w:val="22"/>
        </w:rPr>
        <w:t>F CFP</w:t>
      </w:r>
      <w:r w:rsidRPr="00DA2F93">
        <w:rPr>
          <w:rFonts w:ascii="Arial" w:hAnsi="Arial"/>
          <w:b/>
          <w:sz w:val="22"/>
          <w:szCs w:val="22"/>
        </w:rPr>
        <w:t xml:space="preserve"> HT</w:t>
      </w:r>
      <w:r w:rsidRPr="00DA2F93">
        <w:rPr>
          <w:rFonts w:ascii="Arial" w:hAnsi="Arial"/>
          <w:sz w:val="22"/>
          <w:szCs w:val="22"/>
        </w:rPr>
        <w:t xml:space="preserve"> (valeur Date de référence) ;</w:t>
      </w:r>
    </w:p>
    <w:p w14:paraId="2CCA71CE" w14:textId="42FC10A3" w:rsidR="00316167" w:rsidRDefault="00EE3D00" w:rsidP="008544B3">
      <w:pPr>
        <w:pStyle w:val="corpsdetexte0"/>
        <w:numPr>
          <w:ilvl w:val="0"/>
          <w:numId w:val="12"/>
        </w:numPr>
        <w:suppressAutoHyphens/>
        <w:rPr>
          <w:rFonts w:ascii="Arial" w:hAnsi="Arial"/>
          <w:sz w:val="22"/>
          <w:szCs w:val="22"/>
        </w:rPr>
      </w:pPr>
      <w:r w:rsidRPr="00DA2F93">
        <w:rPr>
          <w:rFonts w:ascii="Arial" w:hAnsi="Arial"/>
          <w:sz w:val="22"/>
          <w:szCs w:val="22"/>
        </w:rPr>
        <w:t xml:space="preserve">GER projeté : </w:t>
      </w:r>
      <w:r w:rsidR="003F3A8D" w:rsidRPr="000243CB">
        <w:rPr>
          <w:rFonts w:ascii="Arial" w:hAnsi="Arial"/>
          <w:b/>
          <w:sz w:val="22"/>
          <w:szCs w:val="22"/>
          <w:highlight w:val="lightGray"/>
        </w:rPr>
        <w:t>XXX</w:t>
      </w:r>
      <w:r w:rsidRPr="00DA2F93">
        <w:rPr>
          <w:rFonts w:ascii="Arial" w:hAnsi="Arial"/>
          <w:b/>
          <w:sz w:val="22"/>
          <w:szCs w:val="22"/>
        </w:rPr>
        <w:t xml:space="preserve"> </w:t>
      </w:r>
      <w:r w:rsidR="003A3709">
        <w:rPr>
          <w:rFonts w:ascii="Arial" w:hAnsi="Arial"/>
          <w:b/>
          <w:sz w:val="22"/>
          <w:szCs w:val="22"/>
        </w:rPr>
        <w:t>F CFP</w:t>
      </w:r>
      <w:r w:rsidRPr="00DA2F93">
        <w:rPr>
          <w:rFonts w:ascii="Arial" w:hAnsi="Arial"/>
          <w:b/>
          <w:sz w:val="22"/>
          <w:szCs w:val="22"/>
        </w:rPr>
        <w:t xml:space="preserve"> HT </w:t>
      </w:r>
      <w:r w:rsidR="00493567" w:rsidRPr="00DA2F93">
        <w:rPr>
          <w:rFonts w:ascii="Arial" w:hAnsi="Arial"/>
          <w:sz w:val="22"/>
          <w:szCs w:val="22"/>
        </w:rPr>
        <w:t>(valeur Date de référence)</w:t>
      </w:r>
      <w:r w:rsidR="00493567">
        <w:rPr>
          <w:rFonts w:ascii="Arial" w:hAnsi="Arial"/>
          <w:sz w:val="22"/>
          <w:szCs w:val="22"/>
        </w:rPr>
        <w:t xml:space="preserve"> </w:t>
      </w:r>
      <w:r w:rsidRPr="00DA2F93">
        <w:rPr>
          <w:rFonts w:ascii="Arial" w:hAnsi="Arial"/>
          <w:sz w:val="22"/>
          <w:szCs w:val="22"/>
        </w:rPr>
        <w:t>;</w:t>
      </w:r>
    </w:p>
    <w:p w14:paraId="7DEDE0ED" w14:textId="0C860DC2" w:rsidR="00493567" w:rsidRPr="00DA2F93" w:rsidRDefault="00493567" w:rsidP="008544B3">
      <w:pPr>
        <w:pStyle w:val="corpsdetexte0"/>
        <w:numPr>
          <w:ilvl w:val="0"/>
          <w:numId w:val="12"/>
        </w:numPr>
        <w:suppressAutoHyphens/>
        <w:rPr>
          <w:rFonts w:ascii="Arial" w:hAnsi="Arial"/>
          <w:sz w:val="22"/>
          <w:szCs w:val="22"/>
        </w:rPr>
      </w:pPr>
      <w:r>
        <w:rPr>
          <w:rFonts w:ascii="Arial" w:hAnsi="Arial"/>
          <w:sz w:val="22"/>
          <w:szCs w:val="22"/>
        </w:rPr>
        <w:t xml:space="preserve">Démantèlement projeté : </w:t>
      </w:r>
      <w:r w:rsidRPr="000243CB">
        <w:rPr>
          <w:rFonts w:ascii="Arial" w:hAnsi="Arial"/>
          <w:b/>
          <w:sz w:val="22"/>
          <w:szCs w:val="22"/>
          <w:highlight w:val="lightGray"/>
        </w:rPr>
        <w:t>XXX</w:t>
      </w:r>
      <w:r w:rsidRPr="00DA2F93">
        <w:rPr>
          <w:rFonts w:ascii="Arial" w:hAnsi="Arial"/>
          <w:b/>
          <w:sz w:val="22"/>
          <w:szCs w:val="22"/>
        </w:rPr>
        <w:t xml:space="preserve"> </w:t>
      </w:r>
      <w:r>
        <w:rPr>
          <w:rFonts w:ascii="Arial" w:hAnsi="Arial"/>
          <w:b/>
          <w:sz w:val="22"/>
          <w:szCs w:val="22"/>
        </w:rPr>
        <w:t>F CFP</w:t>
      </w:r>
      <w:r w:rsidRPr="00DA2F93">
        <w:rPr>
          <w:rFonts w:ascii="Arial" w:hAnsi="Arial"/>
          <w:b/>
          <w:sz w:val="22"/>
          <w:szCs w:val="22"/>
        </w:rPr>
        <w:t xml:space="preserve"> HT</w:t>
      </w:r>
      <w:r>
        <w:rPr>
          <w:rFonts w:ascii="Arial" w:hAnsi="Arial"/>
          <w:b/>
          <w:sz w:val="22"/>
          <w:szCs w:val="22"/>
        </w:rPr>
        <w:t> </w:t>
      </w:r>
      <w:r w:rsidR="001E069C" w:rsidRPr="00DA2F93">
        <w:rPr>
          <w:rFonts w:ascii="Arial" w:hAnsi="Arial"/>
          <w:sz w:val="22"/>
          <w:szCs w:val="22"/>
        </w:rPr>
        <w:t>(valeur Date de référence)</w:t>
      </w:r>
      <w:r w:rsidR="001E069C">
        <w:rPr>
          <w:rFonts w:ascii="Arial" w:hAnsi="Arial"/>
          <w:sz w:val="22"/>
          <w:szCs w:val="22"/>
        </w:rPr>
        <w:t xml:space="preserve"> </w:t>
      </w:r>
      <w:r>
        <w:rPr>
          <w:rFonts w:ascii="Arial" w:hAnsi="Arial"/>
          <w:b/>
          <w:sz w:val="22"/>
          <w:szCs w:val="22"/>
        </w:rPr>
        <w:t>;</w:t>
      </w:r>
    </w:p>
    <w:p w14:paraId="6D7CAC32" w14:textId="16050F82" w:rsidR="00316167" w:rsidRPr="00DA2F93" w:rsidRDefault="00EE3D00" w:rsidP="008544B3">
      <w:pPr>
        <w:pStyle w:val="corpsdetexte0"/>
        <w:numPr>
          <w:ilvl w:val="0"/>
          <w:numId w:val="12"/>
        </w:numPr>
        <w:suppressAutoHyphens/>
        <w:rPr>
          <w:rFonts w:ascii="Arial" w:hAnsi="Arial"/>
          <w:sz w:val="22"/>
          <w:szCs w:val="22"/>
        </w:rPr>
      </w:pPr>
      <w:r w:rsidRPr="00DA2F93">
        <w:rPr>
          <w:rFonts w:ascii="Arial" w:hAnsi="Arial"/>
          <w:sz w:val="22"/>
          <w:szCs w:val="22"/>
        </w:rPr>
        <w:t xml:space="preserve">Besoin en fonds de roulement projeté : </w:t>
      </w:r>
      <w:r w:rsidR="003F3A8D" w:rsidRPr="000243CB">
        <w:rPr>
          <w:rFonts w:ascii="Arial" w:hAnsi="Arial"/>
          <w:sz w:val="22"/>
          <w:szCs w:val="22"/>
          <w:highlight w:val="lightGray"/>
        </w:rPr>
        <w:t>XXX</w:t>
      </w:r>
      <w:r w:rsidRPr="00DA2F93">
        <w:rPr>
          <w:rFonts w:ascii="Arial" w:hAnsi="Arial"/>
          <w:sz w:val="22"/>
          <w:szCs w:val="22"/>
        </w:rPr>
        <w:t xml:space="preserve"> </w:t>
      </w:r>
      <w:r w:rsidR="003A3709">
        <w:rPr>
          <w:rFonts w:ascii="Arial" w:hAnsi="Arial"/>
          <w:sz w:val="22"/>
          <w:szCs w:val="22"/>
        </w:rPr>
        <w:t>F CFP</w:t>
      </w:r>
      <w:r w:rsidRPr="00DA2F93">
        <w:rPr>
          <w:rFonts w:ascii="Arial" w:hAnsi="Arial"/>
          <w:sz w:val="22"/>
          <w:szCs w:val="22"/>
        </w:rPr>
        <w:t xml:space="preserve"> HT (valeur Date de référence) ;</w:t>
      </w:r>
    </w:p>
    <w:p w14:paraId="62E6FB7D" w14:textId="27E5D4DE" w:rsidR="00316167" w:rsidRPr="00DA2F93" w:rsidRDefault="0009130C" w:rsidP="008544B3">
      <w:pPr>
        <w:pStyle w:val="corpsdetexte0"/>
        <w:numPr>
          <w:ilvl w:val="0"/>
          <w:numId w:val="12"/>
        </w:numPr>
        <w:suppressAutoHyphens/>
        <w:rPr>
          <w:rFonts w:ascii="Arial" w:hAnsi="Arial"/>
          <w:sz w:val="22"/>
          <w:szCs w:val="22"/>
        </w:rPr>
      </w:pPr>
      <w:commentRangeStart w:id="111"/>
      <w:r w:rsidRPr="00DA2F93">
        <w:rPr>
          <w:rFonts w:ascii="Arial" w:hAnsi="Arial"/>
          <w:sz w:val="22"/>
          <w:szCs w:val="22"/>
        </w:rPr>
        <w:t>Taux de Rémunération annuel</w:t>
      </w:r>
      <w:r w:rsidR="00832E8F">
        <w:rPr>
          <w:rFonts w:ascii="Arial" w:hAnsi="Arial"/>
          <w:sz w:val="22"/>
          <w:szCs w:val="22"/>
        </w:rPr>
        <w:t xml:space="preserve"> </w:t>
      </w:r>
      <w:r w:rsidRPr="00DA2F93">
        <w:rPr>
          <w:rFonts w:ascii="Arial" w:hAnsi="Arial"/>
          <w:sz w:val="22"/>
          <w:szCs w:val="22"/>
        </w:rPr>
        <w:t xml:space="preserve">: </w:t>
      </w:r>
      <w:r w:rsidRPr="000243CB">
        <w:rPr>
          <w:rFonts w:ascii="Arial" w:hAnsi="Arial"/>
          <w:sz w:val="22"/>
          <w:szCs w:val="22"/>
          <w:highlight w:val="lightGray"/>
        </w:rPr>
        <w:t>X</w:t>
      </w:r>
      <w:r w:rsidR="003F3A8D" w:rsidRPr="000243CB">
        <w:rPr>
          <w:rFonts w:ascii="Arial" w:hAnsi="Arial"/>
          <w:sz w:val="22"/>
          <w:szCs w:val="22"/>
          <w:highlight w:val="lightGray"/>
        </w:rPr>
        <w:t>X</w:t>
      </w:r>
      <w:r w:rsidRPr="000243CB">
        <w:rPr>
          <w:rFonts w:ascii="Arial" w:hAnsi="Arial"/>
          <w:sz w:val="22"/>
          <w:szCs w:val="22"/>
          <w:highlight w:val="lightGray"/>
        </w:rPr>
        <w:t>X</w:t>
      </w:r>
      <w:r w:rsidR="00604A04" w:rsidRPr="00DA2F93">
        <w:rPr>
          <w:rFonts w:ascii="Arial" w:hAnsi="Arial"/>
          <w:sz w:val="22"/>
          <w:szCs w:val="22"/>
        </w:rPr>
        <w:t> ;</w:t>
      </w:r>
      <w:commentRangeEnd w:id="111"/>
      <w:r w:rsidR="00C30846">
        <w:rPr>
          <w:rStyle w:val="Marquedecommentaire"/>
          <w:rFonts w:ascii="Arial" w:eastAsia="Calibri" w:hAnsi="Arial" w:cs="Times New Roman"/>
        </w:rPr>
        <w:commentReference w:id="111"/>
      </w:r>
    </w:p>
    <w:p w14:paraId="524AD808" w14:textId="77777777" w:rsidR="00316167" w:rsidRPr="00DA2F93" w:rsidRDefault="00316167" w:rsidP="00316167">
      <w:pPr>
        <w:pStyle w:val="corpsdetexte0"/>
        <w:rPr>
          <w:rFonts w:ascii="Arial" w:hAnsi="Arial"/>
          <w:sz w:val="22"/>
          <w:szCs w:val="22"/>
        </w:rPr>
      </w:pPr>
    </w:p>
    <w:p w14:paraId="1C4E7AC8" w14:textId="2EA29D8E" w:rsidR="00316167" w:rsidRPr="00DA2F93" w:rsidRDefault="00EE3D00" w:rsidP="00316167">
      <w:pPr>
        <w:pStyle w:val="corpsdetexte0"/>
        <w:rPr>
          <w:rFonts w:ascii="Arial" w:hAnsi="Arial"/>
          <w:sz w:val="22"/>
          <w:szCs w:val="22"/>
        </w:rPr>
      </w:pPr>
      <w:r w:rsidRPr="00DA2F93">
        <w:rPr>
          <w:rFonts w:ascii="Arial" w:hAnsi="Arial"/>
          <w:sz w:val="22"/>
          <w:szCs w:val="22"/>
        </w:rPr>
        <w:t>La</w:t>
      </w:r>
      <w:r w:rsidR="00E0707A">
        <w:rPr>
          <w:rFonts w:ascii="Arial" w:hAnsi="Arial"/>
          <w:sz w:val="22"/>
          <w:szCs w:val="22"/>
        </w:rPr>
        <w:t xml:space="preserve"> valeur de référence initiale prévisionnelle de la</w:t>
      </w:r>
      <w:r w:rsidRPr="00DA2F93">
        <w:rPr>
          <w:rFonts w:ascii="Arial" w:hAnsi="Arial"/>
          <w:sz w:val="22"/>
          <w:szCs w:val="22"/>
        </w:rPr>
        <w:t xml:space="preserve"> Prime de Puissance Garantie est ainsi fixée à :</w:t>
      </w:r>
    </w:p>
    <w:tbl>
      <w:tblPr>
        <w:tblStyle w:val="Grilledutableau"/>
        <w:tblW w:w="0" w:type="auto"/>
        <w:tblLook w:val="04A0" w:firstRow="1" w:lastRow="0" w:firstColumn="1" w:lastColumn="0" w:noHBand="0" w:noVBand="1"/>
      </w:tblPr>
      <w:tblGrid>
        <w:gridCol w:w="5070"/>
        <w:gridCol w:w="5048"/>
      </w:tblGrid>
      <w:tr w:rsidR="00316167" w:rsidRPr="00DA2F93" w14:paraId="6232605C" w14:textId="77777777" w:rsidTr="00316167">
        <w:tc>
          <w:tcPr>
            <w:tcW w:w="5070" w:type="dxa"/>
            <w:vAlign w:val="center"/>
          </w:tcPr>
          <w:p w14:paraId="09C91643" w14:textId="2F832DF3" w:rsidR="00316167" w:rsidRPr="00DA2F93" w:rsidRDefault="00EE3D00" w:rsidP="003514A6">
            <w:pPr>
              <w:pStyle w:val="corpsdetexte0"/>
              <w:rPr>
                <w:rFonts w:ascii="Arial" w:hAnsi="Arial"/>
                <w:b/>
                <w:bCs/>
                <w:sz w:val="22"/>
                <w:szCs w:val="22"/>
              </w:rPr>
            </w:pPr>
            <w:r w:rsidRPr="00DA2F93">
              <w:rPr>
                <w:rFonts w:ascii="Arial" w:hAnsi="Arial"/>
                <w:b/>
                <w:bCs/>
                <w:sz w:val="22"/>
                <w:szCs w:val="22"/>
              </w:rPr>
              <w:t>Prime de puissance garantie annuelle prévisionnelle PPG</w:t>
            </w:r>
            <w:r w:rsidRPr="00DA2F93">
              <w:rPr>
                <w:rFonts w:ascii="Arial" w:hAnsi="Arial"/>
                <w:b/>
                <w:bCs/>
                <w:sz w:val="22"/>
                <w:szCs w:val="22"/>
                <w:vertAlign w:val="subscript"/>
              </w:rPr>
              <w:t>0</w:t>
            </w:r>
          </w:p>
        </w:tc>
        <w:tc>
          <w:tcPr>
            <w:tcW w:w="5048" w:type="dxa"/>
            <w:vAlign w:val="center"/>
          </w:tcPr>
          <w:p w14:paraId="0267C662" w14:textId="372405A4" w:rsidR="00316167" w:rsidRPr="00DA2F93" w:rsidRDefault="003A3709" w:rsidP="00316167">
            <w:pPr>
              <w:pStyle w:val="corpsdetexte0"/>
              <w:rPr>
                <w:rFonts w:ascii="Arial" w:hAnsi="Arial"/>
                <w:b/>
                <w:bCs/>
                <w:sz w:val="22"/>
                <w:szCs w:val="22"/>
              </w:rPr>
            </w:pPr>
            <w:r>
              <w:rPr>
                <w:rFonts w:ascii="Arial" w:hAnsi="Arial"/>
                <w:b/>
                <w:bCs/>
                <w:sz w:val="22"/>
                <w:szCs w:val="22"/>
              </w:rPr>
              <w:t>Francs CFP</w:t>
            </w:r>
            <w:r w:rsidR="00EE3D00" w:rsidRPr="00DA2F93">
              <w:rPr>
                <w:rFonts w:ascii="Arial" w:hAnsi="Arial"/>
                <w:b/>
                <w:bCs/>
                <w:sz w:val="22"/>
                <w:szCs w:val="22"/>
              </w:rPr>
              <w:t xml:space="preserve"> HT</w:t>
            </w:r>
          </w:p>
        </w:tc>
      </w:tr>
      <w:tr w:rsidR="00316167" w:rsidRPr="00DA2F93" w14:paraId="783ED2A6" w14:textId="77777777" w:rsidTr="00316167">
        <w:tc>
          <w:tcPr>
            <w:tcW w:w="5070" w:type="dxa"/>
            <w:vAlign w:val="center"/>
          </w:tcPr>
          <w:p w14:paraId="41A7A38F" w14:textId="77777777" w:rsidR="00316167" w:rsidRPr="00DA2F93" w:rsidRDefault="00EE3D00" w:rsidP="00316167">
            <w:pPr>
              <w:pStyle w:val="corpsdetexte0"/>
              <w:rPr>
                <w:rFonts w:ascii="Arial" w:hAnsi="Arial"/>
                <w:sz w:val="22"/>
                <w:szCs w:val="22"/>
              </w:rPr>
            </w:pPr>
            <w:r w:rsidRPr="00DA2F93">
              <w:rPr>
                <w:rFonts w:ascii="Arial" w:hAnsi="Arial"/>
                <w:sz w:val="22"/>
                <w:szCs w:val="22"/>
              </w:rPr>
              <w:t>Valeur à la Date de référence</w:t>
            </w:r>
          </w:p>
        </w:tc>
        <w:tc>
          <w:tcPr>
            <w:tcW w:w="5048" w:type="dxa"/>
            <w:vAlign w:val="center"/>
          </w:tcPr>
          <w:p w14:paraId="573A7246" w14:textId="77777777" w:rsidR="00316167" w:rsidRPr="00DA2F93" w:rsidRDefault="003F3A8D" w:rsidP="00316167">
            <w:pPr>
              <w:pStyle w:val="corpsdetexte0"/>
              <w:rPr>
                <w:rFonts w:ascii="Arial" w:hAnsi="Arial"/>
                <w:sz w:val="22"/>
                <w:szCs w:val="22"/>
              </w:rPr>
            </w:pPr>
            <w:r w:rsidRPr="000243CB">
              <w:rPr>
                <w:rFonts w:ascii="Arial" w:hAnsi="Arial"/>
                <w:sz w:val="22"/>
                <w:szCs w:val="22"/>
                <w:highlight w:val="lightGray"/>
              </w:rPr>
              <w:t>XXX</w:t>
            </w:r>
          </w:p>
        </w:tc>
      </w:tr>
    </w:tbl>
    <w:p w14:paraId="1D2427BD" w14:textId="77777777" w:rsidR="006A31A5" w:rsidRPr="00DA2F93" w:rsidRDefault="006A31A5" w:rsidP="000548E3">
      <w:pPr>
        <w:jc w:val="both"/>
        <w:rPr>
          <w:rFonts w:cs="Arial"/>
        </w:rPr>
      </w:pPr>
    </w:p>
    <w:p w14:paraId="0F1533D6" w14:textId="2A148643" w:rsidR="009A3C9E" w:rsidRPr="00DA2F93" w:rsidRDefault="00BE5086" w:rsidP="000548E3">
      <w:pPr>
        <w:pStyle w:val="EDFTitre3"/>
        <w:widowControl w:val="0"/>
        <w:autoSpaceDE w:val="0"/>
        <w:autoSpaceDN w:val="0"/>
        <w:adjustRightInd w:val="0"/>
        <w:ind w:right="55"/>
        <w:jc w:val="both"/>
      </w:pPr>
      <w:bookmarkStart w:id="112" w:name="_Ref378319725"/>
      <w:bookmarkStart w:id="113" w:name="_Ref379045286"/>
      <w:bookmarkStart w:id="114" w:name="_Toc388896076"/>
      <w:bookmarkStart w:id="115" w:name="_Toc108113926"/>
      <w:bookmarkStart w:id="116" w:name="_Toc110436455"/>
      <w:r w:rsidRPr="00DA2F93">
        <w:t xml:space="preserve">Révision </w:t>
      </w:r>
      <w:r w:rsidR="009A3C9E" w:rsidRPr="00DA2F93">
        <w:t>de</w:t>
      </w:r>
      <w:r w:rsidR="004A1945" w:rsidRPr="00DA2F93">
        <w:t xml:space="preserve"> la</w:t>
      </w:r>
      <w:r w:rsidR="003514A6">
        <w:t xml:space="preserve"> valeur de référence initiale de la</w:t>
      </w:r>
      <w:r w:rsidR="004A1945" w:rsidRPr="00DA2F93">
        <w:t xml:space="preserve"> </w:t>
      </w:r>
      <w:r w:rsidR="00894E31" w:rsidRPr="00DA2F93">
        <w:t>P</w:t>
      </w:r>
      <w:r w:rsidR="004A1945" w:rsidRPr="00DA2F93">
        <w:t xml:space="preserve">rime de </w:t>
      </w:r>
      <w:r w:rsidR="00894E31" w:rsidRPr="00DA2F93">
        <w:t>P</w:t>
      </w:r>
      <w:r w:rsidR="004A1945" w:rsidRPr="00DA2F93">
        <w:t xml:space="preserve">uissance </w:t>
      </w:r>
      <w:r w:rsidR="00894E31" w:rsidRPr="00DA2F93">
        <w:t>G</w:t>
      </w:r>
      <w:r w:rsidR="004A1945" w:rsidRPr="00DA2F93">
        <w:t>arantie</w:t>
      </w:r>
      <w:bookmarkEnd w:id="112"/>
      <w:r w:rsidR="002B17A5" w:rsidRPr="00DA2F93">
        <w:t xml:space="preserve"> après la </w:t>
      </w:r>
      <w:r w:rsidR="00CD2B9C" w:rsidRPr="00DA2F93">
        <w:t>M</w:t>
      </w:r>
      <w:r w:rsidR="002B17A5" w:rsidRPr="00DA2F93">
        <w:t xml:space="preserve">ise en </w:t>
      </w:r>
      <w:r w:rsidR="00CD2B9C" w:rsidRPr="00DA2F93">
        <w:t>S</w:t>
      </w:r>
      <w:r w:rsidR="002B17A5" w:rsidRPr="00DA2F93">
        <w:t xml:space="preserve">ervice </w:t>
      </w:r>
      <w:r w:rsidR="00F71BC8">
        <w:t>Industrielle</w:t>
      </w:r>
      <w:r w:rsidR="00A84C94" w:rsidRPr="00DA2F93">
        <w:t xml:space="preserve"> </w:t>
      </w:r>
      <w:r w:rsidR="002B17A5" w:rsidRPr="00DA2F93">
        <w:t>de l’Installation</w:t>
      </w:r>
      <w:bookmarkEnd w:id="113"/>
      <w:bookmarkEnd w:id="114"/>
      <w:bookmarkEnd w:id="115"/>
      <w:bookmarkEnd w:id="116"/>
    </w:p>
    <w:p w14:paraId="2E6C8B2D" w14:textId="7DA38CF5" w:rsidR="0040681E" w:rsidRPr="0040681E" w:rsidRDefault="0086062D" w:rsidP="0040681E">
      <w:pPr>
        <w:jc w:val="both"/>
        <w:rPr>
          <w:rFonts w:cs="Arial"/>
          <w:b/>
        </w:rPr>
      </w:pPr>
      <w:r w:rsidRPr="0040681E">
        <w:rPr>
          <w:rFonts w:cs="Arial"/>
          <w:b/>
        </w:rPr>
        <w:t xml:space="preserve">La </w:t>
      </w:r>
      <w:r w:rsidR="003514A6" w:rsidRPr="0040681E">
        <w:rPr>
          <w:rFonts w:cs="Arial"/>
          <w:b/>
        </w:rPr>
        <w:t xml:space="preserve">valeur de référence initiale de la </w:t>
      </w:r>
      <w:r w:rsidRPr="0040681E">
        <w:rPr>
          <w:rFonts w:cs="Arial"/>
          <w:b/>
        </w:rPr>
        <w:t xml:space="preserve">Prime de Puissance Garantie </w:t>
      </w:r>
      <w:r w:rsidR="0091032A" w:rsidRPr="0040681E">
        <w:rPr>
          <w:rFonts w:cs="Arial"/>
          <w:b/>
        </w:rPr>
        <w:t>PPG</w:t>
      </w:r>
      <w:r w:rsidR="0091032A" w:rsidRPr="0040681E">
        <w:rPr>
          <w:rFonts w:cs="Arial"/>
          <w:b/>
          <w:vertAlign w:val="subscript"/>
        </w:rPr>
        <w:t>0</w:t>
      </w:r>
      <w:r w:rsidR="0091032A" w:rsidRPr="0040681E">
        <w:rPr>
          <w:rFonts w:cs="Arial"/>
          <w:b/>
        </w:rPr>
        <w:t xml:space="preserve"> sera </w:t>
      </w:r>
      <w:r w:rsidR="00BE5086" w:rsidRPr="0040681E">
        <w:rPr>
          <w:rFonts w:cs="Arial"/>
          <w:b/>
        </w:rPr>
        <w:t xml:space="preserve">révisée </w:t>
      </w:r>
      <w:r w:rsidR="0091032A" w:rsidRPr="0040681E">
        <w:rPr>
          <w:rFonts w:cs="Arial"/>
          <w:b/>
        </w:rPr>
        <w:t xml:space="preserve">par </w:t>
      </w:r>
      <w:r w:rsidR="009A3C9E" w:rsidRPr="0040681E">
        <w:rPr>
          <w:rFonts w:cs="Arial"/>
          <w:b/>
        </w:rPr>
        <w:t xml:space="preserve">un </w:t>
      </w:r>
      <w:r w:rsidR="0091032A" w:rsidRPr="0040681E">
        <w:rPr>
          <w:rFonts w:cs="Arial"/>
          <w:b/>
        </w:rPr>
        <w:t xml:space="preserve">avenant </w:t>
      </w:r>
      <w:r w:rsidR="009A3C9E" w:rsidRPr="0040681E">
        <w:rPr>
          <w:b/>
        </w:rPr>
        <w:t xml:space="preserve">qui sera signé dans les 12 mois suivant la </w:t>
      </w:r>
      <w:r w:rsidR="00BE5086" w:rsidRPr="0040681E">
        <w:rPr>
          <w:b/>
        </w:rPr>
        <w:t xml:space="preserve">date de </w:t>
      </w:r>
      <w:r w:rsidR="00FB4E63" w:rsidRPr="0040681E">
        <w:rPr>
          <w:b/>
        </w:rPr>
        <w:t>M</w:t>
      </w:r>
      <w:r w:rsidR="009A3C9E" w:rsidRPr="0040681E">
        <w:rPr>
          <w:b/>
        </w:rPr>
        <w:t xml:space="preserve">ise en </w:t>
      </w:r>
      <w:r w:rsidR="00FB4E63" w:rsidRPr="0040681E">
        <w:rPr>
          <w:b/>
        </w:rPr>
        <w:t>S</w:t>
      </w:r>
      <w:r w:rsidR="009A3C9E" w:rsidRPr="0040681E">
        <w:rPr>
          <w:b/>
        </w:rPr>
        <w:t>ervice</w:t>
      </w:r>
      <w:r w:rsidR="00A84C94" w:rsidRPr="0040681E">
        <w:rPr>
          <w:b/>
        </w:rPr>
        <w:t xml:space="preserve"> </w:t>
      </w:r>
      <w:r w:rsidR="00F71BC8" w:rsidRPr="0040681E">
        <w:rPr>
          <w:b/>
        </w:rPr>
        <w:t>Industrielle</w:t>
      </w:r>
      <w:r w:rsidR="009A3C9E" w:rsidRPr="0040681E">
        <w:rPr>
          <w:b/>
        </w:rPr>
        <w:t xml:space="preserve"> de l’</w:t>
      </w:r>
      <w:r w:rsidR="00444045" w:rsidRPr="0040681E">
        <w:rPr>
          <w:b/>
        </w:rPr>
        <w:t>Installation</w:t>
      </w:r>
      <w:r w:rsidR="009A3C9E" w:rsidRPr="0040681E">
        <w:rPr>
          <w:b/>
        </w:rPr>
        <w:t xml:space="preserve"> après v</w:t>
      </w:r>
      <w:r w:rsidR="00225988" w:rsidRPr="0040681E">
        <w:rPr>
          <w:b/>
        </w:rPr>
        <w:t>alidation par l</w:t>
      </w:r>
      <w:r w:rsidR="00071ABB" w:rsidRPr="0040681E">
        <w:rPr>
          <w:b/>
        </w:rPr>
        <w:t>e service de la Nouvelle-Calédonie compétent en matière d’énergie</w:t>
      </w:r>
      <w:r w:rsidR="00075288" w:rsidRPr="0040681E">
        <w:rPr>
          <w:b/>
        </w:rPr>
        <w:t xml:space="preserve"> </w:t>
      </w:r>
      <w:r w:rsidR="009A3C9E" w:rsidRPr="0040681E">
        <w:rPr>
          <w:b/>
        </w:rPr>
        <w:t>des montants réels constatés Ir</w:t>
      </w:r>
      <w:r w:rsidR="00FC1666" w:rsidRPr="0040681E">
        <w:rPr>
          <w:b/>
        </w:rPr>
        <w:t xml:space="preserve">, </w:t>
      </w:r>
      <w:r w:rsidR="00316167" w:rsidRPr="0040681E">
        <w:rPr>
          <w:b/>
        </w:rPr>
        <w:t xml:space="preserve"> </w:t>
      </w:r>
      <w:proofErr w:type="spellStart"/>
      <w:r w:rsidR="00316167" w:rsidRPr="0040681E">
        <w:rPr>
          <w:b/>
        </w:rPr>
        <w:t>Ip</w:t>
      </w:r>
      <w:proofErr w:type="spellEnd"/>
      <w:r w:rsidR="00316167" w:rsidRPr="0040681E">
        <w:rPr>
          <w:b/>
        </w:rPr>
        <w:t xml:space="preserve">, </w:t>
      </w:r>
      <w:r w:rsidR="00FC1666" w:rsidRPr="0040681E">
        <w:rPr>
          <w:b/>
        </w:rPr>
        <w:t>Sr</w:t>
      </w:r>
      <w:r w:rsidR="009A3C9E" w:rsidRPr="0040681E">
        <w:rPr>
          <w:b/>
        </w:rPr>
        <w:t xml:space="preserve"> </w:t>
      </w:r>
      <w:r w:rsidR="00316167" w:rsidRPr="0040681E">
        <w:rPr>
          <w:b/>
        </w:rPr>
        <w:t>où :</w:t>
      </w:r>
    </w:p>
    <w:p w14:paraId="2CC2DC6B" w14:textId="459A3886" w:rsidR="00273453" w:rsidRPr="0040681E" w:rsidRDefault="0040681E" w:rsidP="0040681E">
      <w:pPr>
        <w:ind w:left="426" w:hanging="426"/>
        <w:jc w:val="both"/>
        <w:rPr>
          <w:rFonts w:cs="Arial"/>
          <w:highlight w:val="yellow"/>
        </w:rPr>
      </w:pPr>
      <w:r>
        <w:t xml:space="preserve">-     </w:t>
      </w:r>
      <w:r w:rsidR="00316167" w:rsidRPr="0040681E">
        <w:t>Ir</w:t>
      </w:r>
      <w:r w:rsidR="00273453" w:rsidRPr="0040681E">
        <w:t xml:space="preserve"> </w:t>
      </w:r>
      <w:r w:rsidR="00316167" w:rsidRPr="0040681E">
        <w:t>désigne</w:t>
      </w:r>
      <w:r w:rsidR="00316167" w:rsidRPr="00DA2F93">
        <w:t xml:space="preserve"> la somme des décaissements des investissements réels à l’année précédant la date de Mise en Service </w:t>
      </w:r>
      <w:r w:rsidR="00F71BC8">
        <w:t>Industrielle</w:t>
      </w:r>
      <w:r w:rsidR="00316167" w:rsidRPr="00DA2F93">
        <w:t xml:space="preserve"> de l’Installation </w:t>
      </w:r>
    </w:p>
    <w:p w14:paraId="5B3B8F0A" w14:textId="07F29FE2" w:rsidR="00444045" w:rsidRPr="00DA2F93" w:rsidRDefault="00444045" w:rsidP="000548E3">
      <w:pPr>
        <w:jc w:val="both"/>
        <w:rPr>
          <w:rFonts w:cs="Arial"/>
        </w:rPr>
      </w:pPr>
      <w:r w:rsidRPr="00DA2F93">
        <w:rPr>
          <w:rFonts w:cs="Arial"/>
        </w:rPr>
        <w:t>Suivant les montants Ir</w:t>
      </w:r>
      <w:r w:rsidR="00FC1666" w:rsidRPr="00DA2F93">
        <w:rPr>
          <w:rFonts w:cs="Arial"/>
        </w:rPr>
        <w:t xml:space="preserve">, </w:t>
      </w:r>
      <w:r w:rsidR="007E6A80">
        <w:rPr>
          <w:rFonts w:cs="Arial"/>
        </w:rPr>
        <w:t xml:space="preserve">et </w:t>
      </w:r>
      <w:proofErr w:type="spellStart"/>
      <w:r w:rsidR="00316167" w:rsidRPr="00DA2F93">
        <w:rPr>
          <w:rFonts w:cs="Arial"/>
        </w:rPr>
        <w:t>Ip</w:t>
      </w:r>
      <w:proofErr w:type="spellEnd"/>
      <w:r w:rsidR="00316167" w:rsidRPr="00DA2F93">
        <w:rPr>
          <w:rFonts w:cs="Arial"/>
        </w:rPr>
        <w:t xml:space="preserve">, </w:t>
      </w:r>
      <w:r w:rsidRPr="00DA2F93">
        <w:rPr>
          <w:rFonts w:cs="Arial"/>
        </w:rPr>
        <w:t xml:space="preserve">les coûts d’investissement dans l’Installation </w:t>
      </w:r>
      <w:r w:rsidR="004D1E3B" w:rsidRPr="00DA2F93">
        <w:rPr>
          <w:rFonts w:cs="Arial"/>
        </w:rPr>
        <w:t xml:space="preserve">finalement retenus pour le calcul de la Prime de Puissance Garantie </w:t>
      </w:r>
      <w:r w:rsidRPr="00DA2F93">
        <w:rPr>
          <w:rFonts w:cs="Arial"/>
        </w:rPr>
        <w:t xml:space="preserve">seront </w:t>
      </w:r>
      <w:r w:rsidR="004D1E3B" w:rsidRPr="00DA2F93">
        <w:rPr>
          <w:rFonts w:cs="Arial"/>
        </w:rPr>
        <w:t>les suivants</w:t>
      </w:r>
      <w:r w:rsidRPr="00DA2F93">
        <w:rPr>
          <w:rFonts w:cs="Arial"/>
        </w:rPr>
        <w:t> :</w:t>
      </w:r>
    </w:p>
    <w:p w14:paraId="16EB4A3A" w14:textId="77777777" w:rsidR="00444045" w:rsidRPr="00DA2F93" w:rsidRDefault="00444045" w:rsidP="008544B3">
      <w:pPr>
        <w:pStyle w:val="Paragraphedeliste"/>
        <w:numPr>
          <w:ilvl w:val="0"/>
          <w:numId w:val="6"/>
        </w:numPr>
        <w:jc w:val="both"/>
        <w:rPr>
          <w:rFonts w:cs="Arial"/>
        </w:rPr>
      </w:pPr>
      <w:r w:rsidRPr="00DA2F93">
        <w:rPr>
          <w:rFonts w:cs="Arial"/>
        </w:rPr>
        <w:t>Coût d’investissement :</w:t>
      </w:r>
    </w:p>
    <w:tbl>
      <w:tblPr>
        <w:tblStyle w:val="Grilledutableau1"/>
        <w:tblW w:w="0" w:type="auto"/>
        <w:tblLook w:val="04A0" w:firstRow="1" w:lastRow="0" w:firstColumn="1" w:lastColumn="0" w:noHBand="0" w:noVBand="1"/>
      </w:tblPr>
      <w:tblGrid>
        <w:gridCol w:w="5920"/>
        <w:gridCol w:w="4274"/>
      </w:tblGrid>
      <w:tr w:rsidR="00316167" w:rsidRPr="00DA2F93" w14:paraId="6D4DDBE1" w14:textId="77777777" w:rsidTr="00C30846">
        <w:tc>
          <w:tcPr>
            <w:tcW w:w="5920" w:type="dxa"/>
          </w:tcPr>
          <w:p w14:paraId="5B8B5382" w14:textId="77777777" w:rsidR="00316167" w:rsidRPr="00DA2F93" w:rsidRDefault="00316167" w:rsidP="00316167">
            <w:pPr>
              <w:spacing w:before="0" w:after="0"/>
              <w:jc w:val="both"/>
              <w:rPr>
                <w:b/>
              </w:rPr>
            </w:pPr>
            <w:r w:rsidRPr="00DA2F93">
              <w:rPr>
                <w:b/>
              </w:rPr>
              <w:t>Conditions</w:t>
            </w:r>
          </w:p>
        </w:tc>
        <w:tc>
          <w:tcPr>
            <w:tcW w:w="4274" w:type="dxa"/>
          </w:tcPr>
          <w:p w14:paraId="0B0F8429" w14:textId="77777777" w:rsidR="00316167" w:rsidRPr="00DA2F93" w:rsidRDefault="00316167" w:rsidP="00316167">
            <w:pPr>
              <w:spacing w:before="0" w:after="0"/>
              <w:jc w:val="both"/>
              <w:rPr>
                <w:b/>
              </w:rPr>
            </w:pPr>
            <w:r w:rsidRPr="00DA2F93">
              <w:rPr>
                <w:b/>
              </w:rPr>
              <w:t>Coût d’investissement retenu (</w:t>
            </w:r>
            <w:proofErr w:type="spellStart"/>
            <w:r w:rsidRPr="00DA2F93">
              <w:rPr>
                <w:b/>
              </w:rPr>
              <w:t>Iret</w:t>
            </w:r>
            <w:r w:rsidR="00834706" w:rsidRPr="00DA2F93">
              <w:rPr>
                <w:b/>
              </w:rPr>
              <w:t>+Rret</w:t>
            </w:r>
            <w:proofErr w:type="spellEnd"/>
            <w:r w:rsidRPr="00DA2F93">
              <w:rPr>
                <w:b/>
              </w:rPr>
              <w:t>)</w:t>
            </w:r>
          </w:p>
        </w:tc>
      </w:tr>
      <w:tr w:rsidR="00316167" w:rsidRPr="00DA2F93" w14:paraId="51612B4C" w14:textId="77777777" w:rsidTr="00C30846">
        <w:tc>
          <w:tcPr>
            <w:tcW w:w="5920" w:type="dxa"/>
          </w:tcPr>
          <w:p w14:paraId="5EF92F69" w14:textId="25EB8C24" w:rsidR="00316167" w:rsidRPr="00DA2F93" w:rsidRDefault="00316167" w:rsidP="001E4AE7">
            <w:pPr>
              <w:spacing w:before="0" w:after="0"/>
              <w:jc w:val="both"/>
              <w:rPr>
                <w:lang w:val="es-ES_tradnl"/>
              </w:rPr>
            </w:pPr>
            <w:r w:rsidRPr="00DA2F93">
              <w:rPr>
                <w:lang w:val="es-ES_tradnl"/>
              </w:rPr>
              <w:t xml:space="preserve">Si </w:t>
            </w:r>
            <w:r w:rsidR="001007A3" w:rsidRPr="00DA2F93">
              <w:rPr>
                <w:lang w:val="es-ES_tradnl"/>
              </w:rPr>
              <w:t>(</w:t>
            </w:r>
            <w:r w:rsidRPr="00DA2F93">
              <w:rPr>
                <w:lang w:val="es-ES_tradnl"/>
              </w:rPr>
              <w:t>Ir</w:t>
            </w:r>
            <w:r w:rsidR="001007A3" w:rsidRPr="00DA2F93">
              <w:rPr>
                <w:lang w:val="es-ES_tradnl"/>
              </w:rPr>
              <w:t>)</w:t>
            </w:r>
            <w:r w:rsidRPr="00DA2F93">
              <w:rPr>
                <w:lang w:val="es-ES_tradnl"/>
              </w:rPr>
              <w:t xml:space="preserve"> &lt; 95% * </w:t>
            </w:r>
            <w:r w:rsidR="001007A3" w:rsidRPr="00DA2F93">
              <w:rPr>
                <w:lang w:val="es-ES_tradnl"/>
              </w:rPr>
              <w:t>(</w:t>
            </w:r>
            <w:proofErr w:type="spellStart"/>
            <w:r w:rsidRPr="00DA2F93">
              <w:rPr>
                <w:lang w:val="es-ES_tradnl"/>
              </w:rPr>
              <w:t>Ip</w:t>
            </w:r>
            <w:proofErr w:type="spellEnd"/>
            <w:r w:rsidR="001007A3" w:rsidRPr="00DA2F93">
              <w:rPr>
                <w:lang w:val="es-ES_tradnl"/>
              </w:rPr>
              <w:t>)</w:t>
            </w:r>
          </w:p>
        </w:tc>
        <w:tc>
          <w:tcPr>
            <w:tcW w:w="4274" w:type="dxa"/>
          </w:tcPr>
          <w:p w14:paraId="189CC5E9" w14:textId="586C06FC" w:rsidR="00316167" w:rsidRPr="00DA2F93" w:rsidRDefault="00316167" w:rsidP="00316167">
            <w:pPr>
              <w:spacing w:before="0" w:after="0"/>
              <w:jc w:val="both"/>
            </w:pPr>
            <w:r w:rsidRPr="00DA2F93">
              <w:t>Ir</w:t>
            </w:r>
          </w:p>
        </w:tc>
      </w:tr>
      <w:tr w:rsidR="0040681E" w:rsidRPr="00DA2F93" w14:paraId="553018D7" w14:textId="77777777" w:rsidTr="0040681E">
        <w:tc>
          <w:tcPr>
            <w:tcW w:w="5920" w:type="dxa"/>
            <w:vAlign w:val="center"/>
          </w:tcPr>
          <w:p w14:paraId="037E0CA8" w14:textId="57EFE82B" w:rsidR="0040681E" w:rsidRPr="00DA2F93" w:rsidRDefault="0040681E" w:rsidP="0040681E">
            <w:pPr>
              <w:spacing w:before="0" w:after="0"/>
              <w:rPr>
                <w:lang w:val="de-DE"/>
              </w:rPr>
            </w:pPr>
            <w:r w:rsidRPr="00DA2F93">
              <w:rPr>
                <w:lang w:val="es-ES_tradnl"/>
              </w:rPr>
              <w:t>Si  95% * (</w:t>
            </w:r>
            <w:proofErr w:type="spellStart"/>
            <w:r w:rsidRPr="00DA2F93">
              <w:rPr>
                <w:lang w:val="es-ES_tradnl"/>
              </w:rPr>
              <w:t>Ip</w:t>
            </w:r>
            <w:proofErr w:type="spellEnd"/>
            <w:r w:rsidRPr="00DA2F93">
              <w:rPr>
                <w:lang w:val="es-ES_tradnl"/>
              </w:rPr>
              <w:t xml:space="preserve">) </w:t>
            </w:r>
            <w:r w:rsidRPr="00DA2F93">
              <w:rPr>
                <w:rFonts w:ascii="Symbol" w:eastAsia="Symbol" w:hAnsi="Symbol" w:cs="Symbol"/>
              </w:rPr>
              <w:t></w:t>
            </w:r>
            <w:r w:rsidRPr="00DA2F93">
              <w:rPr>
                <w:lang w:val="es-ES_tradnl"/>
              </w:rPr>
              <w:t xml:space="preserve"> (Ir) &lt; (</w:t>
            </w:r>
            <w:proofErr w:type="spellStart"/>
            <w:r w:rsidRPr="00DA2F93">
              <w:rPr>
                <w:lang w:val="es-ES_tradnl"/>
              </w:rPr>
              <w:t>Ip</w:t>
            </w:r>
            <w:proofErr w:type="spellEnd"/>
            <w:r w:rsidRPr="00DA2F93">
              <w:rPr>
                <w:lang w:val="es-ES_tradnl"/>
              </w:rPr>
              <w:t>)</w:t>
            </w:r>
          </w:p>
        </w:tc>
        <w:tc>
          <w:tcPr>
            <w:tcW w:w="4274" w:type="dxa"/>
          </w:tcPr>
          <w:p w14:paraId="15B82A01" w14:textId="785EC62B" w:rsidR="0040681E" w:rsidRPr="00C30846" w:rsidRDefault="00A775B6" w:rsidP="0040681E">
            <w:pPr>
              <w:spacing w:before="0" w:after="0"/>
              <w:jc w:val="center"/>
              <w:rPr>
                <w:rFonts w:cs="Arial"/>
              </w:rPr>
            </w:pPr>
            <m:oMathPara>
              <m:oMathParaPr>
                <m:jc m:val="left"/>
              </m:oMathParaPr>
              <m:oMath>
                <m:d>
                  <m:dPr>
                    <m:ctrlPr>
                      <w:rPr>
                        <w:rFonts w:ascii="Cambria Math" w:hAnsi="Cambria Math" w:cs="Arial"/>
                        <w:i/>
                        <w:lang w:val="de-DE"/>
                      </w:rPr>
                    </m:ctrlPr>
                  </m:dPr>
                  <m:e>
                    <m:r>
                      <w:rPr>
                        <w:rFonts w:ascii="Cambria Math" w:hAnsi="Cambria Math" w:cs="Arial"/>
                        <w:lang w:val="de-DE"/>
                      </w:rPr>
                      <m:t>0,95+</m:t>
                    </m:r>
                    <m:sSup>
                      <m:sSupPr>
                        <m:ctrlPr>
                          <w:rPr>
                            <w:rFonts w:ascii="Cambria Math" w:hAnsi="Cambria Math" w:cs="Arial"/>
                            <w:i/>
                            <w:lang w:val="de-DE"/>
                          </w:rPr>
                        </m:ctrlPr>
                      </m:sSupPr>
                      <m:e>
                        <m:d>
                          <m:dPr>
                            <m:begChr m:val="["/>
                            <m:endChr m:val="]"/>
                            <m:ctrlPr>
                              <w:rPr>
                                <w:rFonts w:ascii="Cambria Math" w:hAnsi="Cambria Math" w:cs="Arial"/>
                                <w:i/>
                                <w:lang w:val="de-DE"/>
                              </w:rPr>
                            </m:ctrlPr>
                          </m:dPr>
                          <m:e>
                            <m:r>
                              <w:rPr>
                                <w:rFonts w:ascii="Cambria Math" w:hAnsi="Cambria Math" w:cs="Arial"/>
                                <w:lang w:val="de-DE"/>
                              </w:rPr>
                              <m:t>0,05²-</m:t>
                            </m:r>
                            <m:d>
                              <m:dPr>
                                <m:ctrlPr>
                                  <w:rPr>
                                    <w:rFonts w:ascii="Cambria Math" w:hAnsi="Cambria Math" w:cs="Arial"/>
                                    <w:i/>
                                    <w:lang w:val="de-DE"/>
                                  </w:rPr>
                                </m:ctrlPr>
                              </m:dPr>
                              <m:e>
                                <m:f>
                                  <m:fPr>
                                    <m:ctrlPr>
                                      <w:rPr>
                                        <w:rFonts w:ascii="Cambria Math" w:hAnsi="Cambria Math" w:cs="Arial"/>
                                        <w:i/>
                                        <w:lang w:val="de-DE"/>
                                      </w:rPr>
                                    </m:ctrlPr>
                                  </m:fPr>
                                  <m:num>
                                    <m:r>
                                      <w:rPr>
                                        <w:rFonts w:ascii="Cambria Math" w:hAnsi="Cambria Math" w:cs="Arial"/>
                                        <w:lang w:val="de-DE"/>
                                      </w:rPr>
                                      <m:t>Ir</m:t>
                                    </m:r>
                                  </m:num>
                                  <m:den>
                                    <m:r>
                                      <w:rPr>
                                        <w:rFonts w:ascii="Cambria Math" w:hAnsi="Cambria Math" w:cs="Arial"/>
                                        <w:lang w:val="de-DE"/>
                                      </w:rPr>
                                      <m:t>Ip</m:t>
                                    </m:r>
                                  </m:den>
                                </m:f>
                                <m:r>
                                  <w:rPr>
                                    <w:rFonts w:ascii="Cambria Math" w:hAnsi="Cambria Math" w:cs="Arial"/>
                                    <w:lang w:val="de-DE"/>
                                  </w:rPr>
                                  <m:t>-1</m:t>
                                </m:r>
                              </m:e>
                            </m:d>
                            <m:r>
                              <w:rPr>
                                <w:rFonts w:ascii="Cambria Math" w:hAnsi="Cambria Math" w:cs="Arial"/>
                                <w:lang w:val="de-DE"/>
                              </w:rPr>
                              <m:t>²</m:t>
                            </m:r>
                          </m:e>
                        </m:d>
                      </m:e>
                      <m:sup>
                        <m:f>
                          <m:fPr>
                            <m:ctrlPr>
                              <w:rPr>
                                <w:rFonts w:ascii="Cambria Math" w:hAnsi="Cambria Math" w:cs="Arial"/>
                                <w:i/>
                                <w:lang w:val="de-DE"/>
                              </w:rPr>
                            </m:ctrlPr>
                          </m:fPr>
                          <m:num>
                            <m:r>
                              <w:rPr>
                                <w:rFonts w:ascii="Cambria Math" w:hAnsi="Cambria Math" w:cs="Arial"/>
                                <w:lang w:val="de-DE"/>
                              </w:rPr>
                              <m:t>1</m:t>
                            </m:r>
                          </m:num>
                          <m:den>
                            <m:r>
                              <w:rPr>
                                <w:rFonts w:ascii="Cambria Math" w:hAnsi="Cambria Math" w:cs="Arial"/>
                                <w:lang w:val="de-DE"/>
                              </w:rPr>
                              <m:t>2</m:t>
                            </m:r>
                          </m:den>
                        </m:f>
                      </m:sup>
                    </m:sSup>
                  </m:e>
                </m:d>
                <m:r>
                  <w:rPr>
                    <w:rFonts w:ascii="Cambria Math" w:hAnsi="Cambria Math" w:cs="Arial"/>
                    <w:lang w:val="de-DE"/>
                  </w:rPr>
                  <m:t>×Ip</m:t>
                </m:r>
              </m:oMath>
            </m:oMathPara>
          </w:p>
        </w:tc>
      </w:tr>
      <w:tr w:rsidR="00316167" w:rsidRPr="00DA2F93" w14:paraId="4F86CA1E" w14:textId="77777777" w:rsidTr="00C30846">
        <w:tc>
          <w:tcPr>
            <w:tcW w:w="5920" w:type="dxa"/>
          </w:tcPr>
          <w:p w14:paraId="427F2ACA" w14:textId="62101A19" w:rsidR="00316167" w:rsidRPr="00DA2F93" w:rsidRDefault="00316167" w:rsidP="00316167">
            <w:pPr>
              <w:spacing w:before="0" w:after="0"/>
              <w:jc w:val="both"/>
              <w:rPr>
                <w:lang w:val="es-ES_tradnl"/>
              </w:rPr>
            </w:pPr>
            <w:r w:rsidRPr="00DA2F93">
              <w:rPr>
                <w:lang w:val="es-ES_tradnl"/>
              </w:rPr>
              <w:t xml:space="preserve">Si Ir </w:t>
            </w:r>
            <w:r w:rsidRPr="00DA2F93">
              <w:rPr>
                <w:rFonts w:ascii="Symbol" w:eastAsia="Symbol" w:hAnsi="Symbol" w:cs="Symbol"/>
              </w:rPr>
              <w:t></w:t>
            </w:r>
            <w:r w:rsidRPr="00DA2F93">
              <w:rPr>
                <w:lang w:val="es-ES_tradnl"/>
              </w:rPr>
              <w:t xml:space="preserve"> </w:t>
            </w:r>
            <w:proofErr w:type="spellStart"/>
            <w:r w:rsidRPr="00DA2F93">
              <w:rPr>
                <w:lang w:val="es-ES_tradnl"/>
              </w:rPr>
              <w:t>Ip</w:t>
            </w:r>
            <w:proofErr w:type="spellEnd"/>
          </w:p>
        </w:tc>
        <w:tc>
          <w:tcPr>
            <w:tcW w:w="4274" w:type="dxa"/>
          </w:tcPr>
          <w:p w14:paraId="23996A11" w14:textId="3138B367" w:rsidR="00316167" w:rsidRPr="00DA2F93" w:rsidRDefault="00316167" w:rsidP="001E4AE7">
            <w:pPr>
              <w:spacing w:before="0" w:after="0"/>
              <w:jc w:val="both"/>
            </w:pPr>
            <w:proofErr w:type="spellStart"/>
            <w:r w:rsidRPr="00DA2F93">
              <w:t>Ip</w:t>
            </w:r>
            <w:proofErr w:type="spellEnd"/>
          </w:p>
        </w:tc>
      </w:tr>
    </w:tbl>
    <w:p w14:paraId="0104C6BB" w14:textId="77777777" w:rsidR="00316167" w:rsidRPr="00DA2F93" w:rsidRDefault="00316167" w:rsidP="000548E3">
      <w:pPr>
        <w:jc w:val="both"/>
        <w:rPr>
          <w:rFonts w:cs="Arial"/>
        </w:rPr>
      </w:pPr>
    </w:p>
    <w:p w14:paraId="2F48A1A4" w14:textId="63AB5AFA" w:rsidR="003B1AB6" w:rsidRPr="00DA2F93" w:rsidRDefault="003B1AB6" w:rsidP="000548E3">
      <w:pPr>
        <w:jc w:val="both"/>
        <w:rPr>
          <w:rFonts w:cs="Arial"/>
        </w:rPr>
      </w:pPr>
      <w:r w:rsidRPr="00DA2F93">
        <w:rPr>
          <w:rFonts w:cs="Arial"/>
        </w:rPr>
        <w:t xml:space="preserve">Si d’éventuels surcoûts de construction </w:t>
      </w:r>
      <w:r w:rsidR="000D3266" w:rsidRPr="00DA2F93">
        <w:rPr>
          <w:rFonts w:cs="Arial"/>
        </w:rPr>
        <w:t>relevaient</w:t>
      </w:r>
      <w:r w:rsidRPr="00DA2F93">
        <w:rPr>
          <w:rFonts w:cs="Arial"/>
        </w:rPr>
        <w:t xml:space="preserve"> de la clause de sauvegarde (§ </w:t>
      </w:r>
      <w:r w:rsidR="00C71C22" w:rsidRPr="00DA2F93">
        <w:fldChar w:fldCharType="begin"/>
      </w:r>
      <w:r w:rsidR="00C71C22" w:rsidRPr="00DA2F93">
        <w:instrText xml:space="preserve"> REF _Ref378338494 \r \h  \* MERGEFORMAT </w:instrText>
      </w:r>
      <w:r w:rsidR="00C71C22" w:rsidRPr="00DA2F93">
        <w:fldChar w:fldCharType="separate"/>
      </w:r>
      <w:r w:rsidR="0042414D" w:rsidRPr="001E4AE7">
        <w:rPr>
          <w:rFonts w:cs="Arial"/>
        </w:rPr>
        <w:t>25</w:t>
      </w:r>
      <w:r w:rsidR="00C71C22" w:rsidRPr="00DA2F93">
        <w:fldChar w:fldCharType="end"/>
      </w:r>
      <w:r w:rsidRPr="00DA2F93">
        <w:rPr>
          <w:rFonts w:cs="Arial"/>
        </w:rPr>
        <w:t xml:space="preserve">) ou de la Force majeure (§ </w:t>
      </w:r>
      <w:r w:rsidR="00C71C22" w:rsidRPr="00DA2F93">
        <w:fldChar w:fldCharType="begin"/>
      </w:r>
      <w:r w:rsidR="00C71C22" w:rsidRPr="00DA2F93">
        <w:instrText xml:space="preserve"> REF _Ref378325281 \r \h  \* MERGEFORMAT </w:instrText>
      </w:r>
      <w:r w:rsidR="00C71C22" w:rsidRPr="00DA2F93">
        <w:fldChar w:fldCharType="separate"/>
      </w:r>
      <w:r w:rsidR="0042414D" w:rsidRPr="001E4AE7">
        <w:rPr>
          <w:rFonts w:cs="Arial"/>
        </w:rPr>
        <w:t>27</w:t>
      </w:r>
      <w:r w:rsidR="00C71C22" w:rsidRPr="00DA2F93">
        <w:fldChar w:fldCharType="end"/>
      </w:r>
      <w:r w:rsidRPr="00DA2F93">
        <w:rPr>
          <w:rFonts w:cs="Arial"/>
        </w:rPr>
        <w:t>), l’assiette d’investissement pourra</w:t>
      </w:r>
      <w:r w:rsidR="005E3C71" w:rsidRPr="00DA2F93">
        <w:rPr>
          <w:rFonts w:cs="Arial"/>
        </w:rPr>
        <w:t>it</w:t>
      </w:r>
      <w:r w:rsidRPr="00DA2F93">
        <w:rPr>
          <w:rFonts w:cs="Arial"/>
        </w:rPr>
        <w:t xml:space="preserve"> être révisée après fourniture des justificatifs par le </w:t>
      </w:r>
      <w:r w:rsidR="00554628" w:rsidRPr="00DA2F93">
        <w:rPr>
          <w:rFonts w:cs="Arial"/>
        </w:rPr>
        <w:t>Stockeur</w:t>
      </w:r>
      <w:r w:rsidRPr="00DA2F93">
        <w:rPr>
          <w:rFonts w:cs="Arial"/>
        </w:rPr>
        <w:t xml:space="preserve"> et </w:t>
      </w:r>
      <w:r w:rsidR="000D3266" w:rsidRPr="00DA2F93">
        <w:rPr>
          <w:rFonts w:cs="Arial"/>
        </w:rPr>
        <w:t>validation</w:t>
      </w:r>
      <w:r w:rsidRPr="00DA2F93">
        <w:rPr>
          <w:rFonts w:cs="Arial"/>
        </w:rPr>
        <w:t xml:space="preserve"> </w:t>
      </w:r>
      <w:r w:rsidR="00071ABB">
        <w:rPr>
          <w:rFonts w:cs="Arial"/>
        </w:rPr>
        <w:t>du service de la Nouvelle-Calédonie compétent en matière d’énergie</w:t>
      </w:r>
      <w:r w:rsidRPr="00DA2F93">
        <w:rPr>
          <w:rFonts w:cs="Arial"/>
        </w:rPr>
        <w:t>.</w:t>
      </w:r>
    </w:p>
    <w:p w14:paraId="106DE2C7" w14:textId="77777777" w:rsidR="00444045" w:rsidRDefault="003B1AB6" w:rsidP="000548E3">
      <w:pPr>
        <w:jc w:val="both"/>
        <w:rPr>
          <w:rFonts w:cs="Arial"/>
        </w:rPr>
      </w:pPr>
      <w:r w:rsidRPr="00DA2F93">
        <w:rPr>
          <w:rFonts w:cs="Arial"/>
        </w:rPr>
        <w:t xml:space="preserve">   </w:t>
      </w:r>
    </w:p>
    <w:p w14:paraId="242F3E9A" w14:textId="77777777" w:rsidR="0040681E" w:rsidRDefault="0040681E" w:rsidP="000548E3">
      <w:pPr>
        <w:jc w:val="both"/>
        <w:rPr>
          <w:rFonts w:cs="Arial"/>
        </w:rPr>
      </w:pPr>
    </w:p>
    <w:p w14:paraId="4381554A" w14:textId="77777777" w:rsidR="0040681E" w:rsidRDefault="0040681E" w:rsidP="000548E3">
      <w:pPr>
        <w:jc w:val="both"/>
        <w:rPr>
          <w:rFonts w:cs="Arial"/>
        </w:rPr>
      </w:pPr>
    </w:p>
    <w:p w14:paraId="53B1CC53" w14:textId="77777777" w:rsidR="0040681E" w:rsidRDefault="0040681E" w:rsidP="000548E3">
      <w:pPr>
        <w:jc w:val="both"/>
        <w:rPr>
          <w:rFonts w:cs="Arial"/>
        </w:rPr>
      </w:pPr>
    </w:p>
    <w:p w14:paraId="66F88130" w14:textId="77777777" w:rsidR="0040681E" w:rsidRDefault="0040681E" w:rsidP="000548E3">
      <w:pPr>
        <w:jc w:val="both"/>
        <w:rPr>
          <w:rFonts w:cs="Arial"/>
        </w:rPr>
      </w:pPr>
    </w:p>
    <w:p w14:paraId="668103FF" w14:textId="77777777" w:rsidR="0040681E" w:rsidRPr="00DA2F93" w:rsidRDefault="0040681E" w:rsidP="000548E3">
      <w:pPr>
        <w:jc w:val="both"/>
        <w:rPr>
          <w:rFonts w:cs="Arial"/>
        </w:rPr>
      </w:pPr>
    </w:p>
    <w:p w14:paraId="62A1B53C" w14:textId="77777777" w:rsidR="00BE5F4D" w:rsidRDefault="00BE5F4D" w:rsidP="008544B3">
      <w:pPr>
        <w:pStyle w:val="Paragraphedeliste"/>
        <w:numPr>
          <w:ilvl w:val="0"/>
          <w:numId w:val="6"/>
        </w:numPr>
        <w:jc w:val="both"/>
        <w:rPr>
          <w:rFonts w:cs="Arial"/>
        </w:rPr>
      </w:pPr>
      <w:r w:rsidRPr="00DA2F93">
        <w:rPr>
          <w:rFonts w:cs="Arial"/>
        </w:rPr>
        <w:t>Subventions et crédits d’impôt :</w:t>
      </w:r>
    </w:p>
    <w:p w14:paraId="48774F6F" w14:textId="77777777" w:rsidR="0040681E" w:rsidRPr="00DA2F93" w:rsidRDefault="0040681E" w:rsidP="0040681E">
      <w:pPr>
        <w:pStyle w:val="Paragraphedeliste"/>
        <w:ind w:left="361"/>
        <w:jc w:val="both"/>
        <w:rPr>
          <w:rFonts w:cs="Arial"/>
        </w:rPr>
      </w:pPr>
    </w:p>
    <w:tbl>
      <w:tblPr>
        <w:tblStyle w:val="Grilledutableau"/>
        <w:tblW w:w="0" w:type="auto"/>
        <w:tblLook w:val="04A0" w:firstRow="1" w:lastRow="0" w:firstColumn="1" w:lastColumn="0" w:noHBand="0" w:noVBand="1"/>
      </w:tblPr>
      <w:tblGrid>
        <w:gridCol w:w="5070"/>
        <w:gridCol w:w="5048"/>
      </w:tblGrid>
      <w:tr w:rsidR="00BE5F4D" w:rsidRPr="00DA2F93" w14:paraId="646F7479" w14:textId="77777777" w:rsidTr="00BE5F4D">
        <w:tc>
          <w:tcPr>
            <w:tcW w:w="5070" w:type="dxa"/>
          </w:tcPr>
          <w:p w14:paraId="70B2A52F" w14:textId="77777777" w:rsidR="00BE5F4D" w:rsidRPr="00DA2F93" w:rsidRDefault="00BE5F4D" w:rsidP="00CD017F">
            <w:pPr>
              <w:spacing w:before="0" w:after="0"/>
              <w:jc w:val="both"/>
              <w:rPr>
                <w:b/>
              </w:rPr>
            </w:pPr>
            <w:r w:rsidRPr="00DA2F93">
              <w:rPr>
                <w:b/>
              </w:rPr>
              <w:lastRenderedPageBreak/>
              <w:t>Montant réel de subventions et crédits d’impôt (Sr)</w:t>
            </w:r>
          </w:p>
        </w:tc>
        <w:tc>
          <w:tcPr>
            <w:tcW w:w="5048" w:type="dxa"/>
          </w:tcPr>
          <w:p w14:paraId="1077F144" w14:textId="77777777" w:rsidR="00BE5F4D" w:rsidRPr="00DA2F93" w:rsidRDefault="00BE5F4D" w:rsidP="00BE5F4D">
            <w:pPr>
              <w:spacing w:before="0" w:after="0"/>
              <w:jc w:val="both"/>
              <w:rPr>
                <w:b/>
              </w:rPr>
            </w:pPr>
            <w:r w:rsidRPr="00DA2F93">
              <w:rPr>
                <w:b/>
              </w:rPr>
              <w:t>Montant de subventions et crédits d’impôt retenu (</w:t>
            </w:r>
            <w:proofErr w:type="spellStart"/>
            <w:r w:rsidRPr="00DA2F93">
              <w:rPr>
                <w:b/>
              </w:rPr>
              <w:t>Sret</w:t>
            </w:r>
            <w:proofErr w:type="spellEnd"/>
            <w:r w:rsidRPr="00DA2F93">
              <w:rPr>
                <w:b/>
              </w:rPr>
              <w:t>)</w:t>
            </w:r>
          </w:p>
        </w:tc>
      </w:tr>
      <w:tr w:rsidR="000A05AB" w:rsidRPr="00DA2F93" w14:paraId="263E3B7D" w14:textId="77777777" w:rsidTr="00BE5F4D">
        <w:tc>
          <w:tcPr>
            <w:tcW w:w="5070" w:type="dxa"/>
          </w:tcPr>
          <w:p w14:paraId="22D43DB2" w14:textId="77777777" w:rsidR="000A05AB" w:rsidRPr="00DA2F93" w:rsidRDefault="005F5014" w:rsidP="00BE5F4D">
            <w:pPr>
              <w:spacing w:before="0" w:after="0"/>
              <w:jc w:val="both"/>
            </w:pPr>
            <w:r w:rsidRPr="00DA2F93">
              <w:t xml:space="preserve">Si Sr &lt; </w:t>
            </w:r>
            <w:proofErr w:type="spellStart"/>
            <w:r w:rsidR="000A05AB" w:rsidRPr="00DA2F93">
              <w:t>Sp</w:t>
            </w:r>
            <w:proofErr w:type="spellEnd"/>
          </w:p>
        </w:tc>
        <w:tc>
          <w:tcPr>
            <w:tcW w:w="5048" w:type="dxa"/>
          </w:tcPr>
          <w:p w14:paraId="434F932E" w14:textId="0BA6AD75" w:rsidR="0009130C" w:rsidRPr="00DA2F93" w:rsidRDefault="0009130C" w:rsidP="008F265A">
            <w:pPr>
              <w:spacing w:before="0" w:after="0"/>
              <w:jc w:val="both"/>
              <w:rPr>
                <w:rFonts w:cs="Arial"/>
              </w:rPr>
            </w:pPr>
          </w:p>
          <w:p w14:paraId="5ECE2A6B" w14:textId="5D73FD20" w:rsidR="000A05AB" w:rsidRPr="00DA2F93" w:rsidRDefault="000C2976" w:rsidP="008F265A">
            <w:pPr>
              <w:spacing w:before="0" w:after="0"/>
              <w:jc w:val="both"/>
            </w:pPr>
            <w:r w:rsidRPr="00DA2F93">
              <w:rPr>
                <w:rFonts w:cs="Arial"/>
              </w:rPr>
              <w:t xml:space="preserve">Le montant de l’écart retenu sera défini </w:t>
            </w:r>
            <w:r w:rsidR="005F5014" w:rsidRPr="00DA2F93">
              <w:rPr>
                <w:rFonts w:cs="Arial"/>
              </w:rPr>
              <w:t xml:space="preserve">après </w:t>
            </w:r>
            <w:r w:rsidR="00393685" w:rsidRPr="00DA2F93">
              <w:rPr>
                <w:rFonts w:cs="Arial"/>
              </w:rPr>
              <w:t>fourniture</w:t>
            </w:r>
            <w:r w:rsidR="00A05592" w:rsidRPr="00DA2F93">
              <w:rPr>
                <w:rFonts w:cs="Arial"/>
              </w:rPr>
              <w:t xml:space="preserve"> des justificatifs</w:t>
            </w:r>
            <w:r w:rsidR="000D3266" w:rsidRPr="00DA2F93">
              <w:rPr>
                <w:rFonts w:cs="Arial"/>
              </w:rPr>
              <w:t xml:space="preserve"> par le </w:t>
            </w:r>
            <w:r w:rsidR="00554628" w:rsidRPr="00DA2F93">
              <w:rPr>
                <w:rFonts w:cs="Arial"/>
              </w:rPr>
              <w:t>Stockeur</w:t>
            </w:r>
            <w:r w:rsidR="00CD017F" w:rsidRPr="00DA2F93">
              <w:rPr>
                <w:rFonts w:cs="Arial"/>
              </w:rPr>
              <w:t xml:space="preserve"> </w:t>
            </w:r>
            <w:r w:rsidR="00393685" w:rsidRPr="00DA2F93">
              <w:rPr>
                <w:rFonts w:cs="Arial"/>
              </w:rPr>
              <w:t>des</w:t>
            </w:r>
            <w:r w:rsidR="00CD017F" w:rsidRPr="00DA2F93">
              <w:rPr>
                <w:rFonts w:cs="Arial"/>
              </w:rPr>
              <w:t xml:space="preserve"> démarches qu’il aura effectué</w:t>
            </w:r>
            <w:r w:rsidR="00E31D2E" w:rsidRPr="00DA2F93">
              <w:rPr>
                <w:rFonts w:cs="Arial"/>
              </w:rPr>
              <w:t>es</w:t>
            </w:r>
            <w:r w:rsidR="00CD017F" w:rsidRPr="00DA2F93">
              <w:rPr>
                <w:rFonts w:cs="Arial"/>
              </w:rPr>
              <w:t xml:space="preserve"> pour obtenir des subventions et crédits d’impôt</w:t>
            </w:r>
            <w:r w:rsidR="00393685" w:rsidRPr="00DA2F93">
              <w:rPr>
                <w:rFonts w:cs="Arial"/>
              </w:rPr>
              <w:t xml:space="preserve"> et accord </w:t>
            </w:r>
            <w:r w:rsidR="00071ABB">
              <w:rPr>
                <w:rFonts w:cs="Arial"/>
              </w:rPr>
              <w:t>du service de la Nouvelle-Calédonie compétent en matière d’énergie</w:t>
            </w:r>
          </w:p>
        </w:tc>
      </w:tr>
      <w:tr w:rsidR="000A05AB" w:rsidRPr="00DA2F93" w14:paraId="56B360CB" w14:textId="77777777" w:rsidTr="00BE5F4D">
        <w:tc>
          <w:tcPr>
            <w:tcW w:w="5070" w:type="dxa"/>
          </w:tcPr>
          <w:p w14:paraId="3C7D0479" w14:textId="77777777" w:rsidR="000A05AB" w:rsidRPr="00DA2F93" w:rsidRDefault="000A05AB" w:rsidP="00BE5F4D">
            <w:pPr>
              <w:spacing w:before="0" w:after="0"/>
              <w:jc w:val="both"/>
            </w:pPr>
            <w:r w:rsidRPr="00DA2F93">
              <w:t xml:space="preserve">Si Sr </w:t>
            </w:r>
            <w:r w:rsidRPr="00DA2F93">
              <w:rPr>
                <w:rFonts w:ascii="Symbol" w:eastAsia="Symbol" w:hAnsi="Symbol" w:cs="Symbol"/>
              </w:rPr>
              <w:t></w:t>
            </w:r>
            <w:r w:rsidRPr="00DA2F93">
              <w:t xml:space="preserve"> </w:t>
            </w:r>
            <w:proofErr w:type="spellStart"/>
            <w:r w:rsidRPr="00DA2F93">
              <w:t>Sp</w:t>
            </w:r>
            <w:proofErr w:type="spellEnd"/>
          </w:p>
        </w:tc>
        <w:tc>
          <w:tcPr>
            <w:tcW w:w="5048" w:type="dxa"/>
          </w:tcPr>
          <w:p w14:paraId="23217C89" w14:textId="77777777" w:rsidR="000A05AB" w:rsidRPr="00DA2F93" w:rsidRDefault="000A05AB" w:rsidP="00BE5F4D">
            <w:pPr>
              <w:spacing w:before="0" w:after="0"/>
              <w:jc w:val="both"/>
            </w:pPr>
            <w:r w:rsidRPr="00DA2F93">
              <w:t>Sr</w:t>
            </w:r>
          </w:p>
        </w:tc>
      </w:tr>
    </w:tbl>
    <w:p w14:paraId="3A954176" w14:textId="77777777" w:rsidR="00530471" w:rsidRPr="00DA2F93" w:rsidRDefault="00530471" w:rsidP="000548E3">
      <w:pPr>
        <w:jc w:val="both"/>
        <w:rPr>
          <w:rFonts w:cs="Arial"/>
        </w:rPr>
      </w:pPr>
    </w:p>
    <w:p w14:paraId="0AFD0D0F" w14:textId="2B441FE3" w:rsidR="0091032A" w:rsidRPr="00DA2F93" w:rsidRDefault="009A3C9E" w:rsidP="000548E3">
      <w:pPr>
        <w:jc w:val="both"/>
        <w:rPr>
          <w:rFonts w:cs="Arial"/>
        </w:rPr>
      </w:pPr>
      <w:r w:rsidRPr="00DA2F93">
        <w:rPr>
          <w:rFonts w:cs="Arial"/>
        </w:rPr>
        <w:t>Dans le cas où</w:t>
      </w:r>
      <w:r w:rsidR="0091032A" w:rsidRPr="00DA2F93">
        <w:rPr>
          <w:rFonts w:cs="Arial"/>
        </w:rPr>
        <w:t xml:space="preserve"> les coûts retenus </w:t>
      </w:r>
      <w:proofErr w:type="spellStart"/>
      <w:r w:rsidR="0091032A" w:rsidRPr="00DA2F93">
        <w:rPr>
          <w:rFonts w:cs="Arial"/>
        </w:rPr>
        <w:t>Iret</w:t>
      </w:r>
      <w:proofErr w:type="spellEnd"/>
      <w:r w:rsidR="001E4AE7">
        <w:rPr>
          <w:rFonts w:cs="Arial"/>
        </w:rPr>
        <w:t xml:space="preserve"> et</w:t>
      </w:r>
      <w:r w:rsidR="000D3266" w:rsidRPr="00DA2F93">
        <w:rPr>
          <w:rFonts w:cs="Arial"/>
        </w:rPr>
        <w:t xml:space="preserve"> </w:t>
      </w:r>
      <w:proofErr w:type="spellStart"/>
      <w:r w:rsidR="000D3266" w:rsidRPr="00DA2F93">
        <w:rPr>
          <w:rFonts w:cs="Arial"/>
        </w:rPr>
        <w:t>Sret</w:t>
      </w:r>
      <w:proofErr w:type="spellEnd"/>
      <w:r w:rsidR="0091032A" w:rsidRPr="00DA2F93">
        <w:rPr>
          <w:rFonts w:cs="Arial"/>
        </w:rPr>
        <w:t xml:space="preserve"> tels que définis ci-dessus sont différents des coûts projetés </w:t>
      </w:r>
      <w:proofErr w:type="spellStart"/>
      <w:r w:rsidR="0091032A" w:rsidRPr="00DA2F93">
        <w:rPr>
          <w:rFonts w:cs="Arial"/>
        </w:rPr>
        <w:t>Ip</w:t>
      </w:r>
      <w:proofErr w:type="spellEnd"/>
      <w:r w:rsidR="001E4AE7">
        <w:rPr>
          <w:rFonts w:cs="Arial"/>
        </w:rPr>
        <w:t xml:space="preserve"> et</w:t>
      </w:r>
      <w:r w:rsidR="000C2976" w:rsidRPr="00DA2F93">
        <w:rPr>
          <w:rFonts w:cs="Arial"/>
        </w:rPr>
        <w:t xml:space="preserve"> </w:t>
      </w:r>
      <w:proofErr w:type="spellStart"/>
      <w:r w:rsidR="000C2976" w:rsidRPr="00DA2F93">
        <w:rPr>
          <w:rFonts w:cs="Arial"/>
        </w:rPr>
        <w:t>Sp</w:t>
      </w:r>
      <w:proofErr w:type="spellEnd"/>
      <w:r w:rsidR="0091032A" w:rsidRPr="00DA2F93">
        <w:rPr>
          <w:rFonts w:cs="Arial"/>
        </w:rPr>
        <w:t xml:space="preserve">, </w:t>
      </w:r>
      <w:r w:rsidRPr="00DA2F93">
        <w:rPr>
          <w:rFonts w:cs="Arial"/>
        </w:rPr>
        <w:t>PPG</w:t>
      </w:r>
      <w:r w:rsidRPr="00DA2F93">
        <w:rPr>
          <w:rFonts w:cs="Arial"/>
          <w:vertAlign w:val="subscript"/>
        </w:rPr>
        <w:t>0</w:t>
      </w:r>
      <w:r w:rsidRPr="00DA2F93">
        <w:rPr>
          <w:rFonts w:cs="Arial"/>
        </w:rPr>
        <w:t xml:space="preserve"> sera </w:t>
      </w:r>
      <w:r w:rsidR="00BE5086" w:rsidRPr="00DA2F93">
        <w:rPr>
          <w:rFonts w:cs="Arial"/>
        </w:rPr>
        <w:t xml:space="preserve">révisée </w:t>
      </w:r>
      <w:r w:rsidR="0091032A" w:rsidRPr="00DA2F93">
        <w:rPr>
          <w:rFonts w:cs="Arial"/>
        </w:rPr>
        <w:t>selon la formule suivante :</w:t>
      </w:r>
    </w:p>
    <w:p w14:paraId="28EAACFA" w14:textId="73B6B9CD" w:rsidR="0091032A" w:rsidRPr="00DA2F93" w:rsidRDefault="0091032A" w:rsidP="000548E3">
      <w:pPr>
        <w:jc w:val="both"/>
        <w:rPr>
          <w:rFonts w:cs="Arial"/>
        </w:rPr>
      </w:pPr>
      <w:r w:rsidRPr="00DA2F93">
        <w:rPr>
          <w:rFonts w:cs="Arial"/>
        </w:rPr>
        <w:t>PPG</w:t>
      </w:r>
      <w:r w:rsidRPr="00DA2F93">
        <w:rPr>
          <w:rFonts w:cs="Arial"/>
          <w:vertAlign w:val="subscript"/>
        </w:rPr>
        <w:t>0</w:t>
      </w:r>
      <w:r w:rsidRPr="00DA2F93">
        <w:rPr>
          <w:rFonts w:cs="Arial"/>
        </w:rPr>
        <w:t xml:space="preserve"> = (</w:t>
      </w:r>
      <w:proofErr w:type="spellStart"/>
      <w:r w:rsidRPr="00DA2F93">
        <w:rPr>
          <w:rFonts w:cs="Arial"/>
        </w:rPr>
        <w:t>Iret</w:t>
      </w:r>
      <w:proofErr w:type="spellEnd"/>
      <w:r w:rsidR="00FC1666" w:rsidRPr="00DA2F93">
        <w:rPr>
          <w:rFonts w:cs="Arial"/>
        </w:rPr>
        <w:t xml:space="preserve"> </w:t>
      </w:r>
      <w:r w:rsidR="00834706" w:rsidRPr="00DA2F93">
        <w:rPr>
          <w:rFonts w:cs="Arial"/>
        </w:rPr>
        <w:t xml:space="preserve">– </w:t>
      </w:r>
      <w:proofErr w:type="spellStart"/>
      <w:r w:rsidR="00834706" w:rsidRPr="00DA2F93">
        <w:rPr>
          <w:rFonts w:cs="Arial"/>
        </w:rPr>
        <w:t>Sret</w:t>
      </w:r>
      <w:proofErr w:type="spellEnd"/>
      <w:r w:rsidR="009A3C9E" w:rsidRPr="00DA2F93">
        <w:rPr>
          <w:rFonts w:cs="Arial"/>
        </w:rPr>
        <w:t>)</w:t>
      </w:r>
      <w:r w:rsidR="006D285C" w:rsidRPr="00DA2F93">
        <w:rPr>
          <w:rFonts w:cs="Arial"/>
        </w:rPr>
        <w:t xml:space="preserve"> *</w:t>
      </w:r>
      <w:r w:rsidRPr="00DA2F93">
        <w:rPr>
          <w:rFonts w:cs="Arial"/>
        </w:rPr>
        <w:t xml:space="preserve"> </w:t>
      </w:r>
      <w:r w:rsidR="00D9215E" w:rsidRPr="00DA2F93">
        <w:rPr>
          <w:rFonts w:cs="Arial"/>
        </w:rPr>
        <w:t>(Taux de rémunération</w:t>
      </w:r>
      <w:r w:rsidR="00972DDE" w:rsidRPr="00DA2F93">
        <w:rPr>
          <w:rFonts w:cs="Arial"/>
        </w:rPr>
        <w:t xml:space="preserve"> +</w:t>
      </w:r>
      <w:r w:rsidR="00E01F42" w:rsidRPr="00DA2F93">
        <w:rPr>
          <w:rFonts w:cs="Arial"/>
        </w:rPr>
        <w:t xml:space="preserve"> 1/</w:t>
      </w:r>
      <w:r w:rsidR="0028215C" w:rsidRPr="00DA2F93">
        <w:t>Durée d’amortissement de l’Installation</w:t>
      </w:r>
      <w:r w:rsidR="009A3C9E" w:rsidRPr="00DA2F93">
        <w:rPr>
          <w:rFonts w:cs="Arial"/>
        </w:rPr>
        <w:t>)</w:t>
      </w:r>
      <w:r w:rsidRPr="00DA2F93">
        <w:rPr>
          <w:rFonts w:cs="Arial"/>
        </w:rPr>
        <w:t xml:space="preserve"> </w:t>
      </w:r>
      <w:r w:rsidR="00B509CF" w:rsidRPr="000243CB">
        <w:rPr>
          <w:bCs/>
        </w:rPr>
        <w:t>+</w:t>
      </w:r>
      <w:r w:rsidR="00B509CF" w:rsidRPr="00DA2F93">
        <w:rPr>
          <w:b/>
        </w:rPr>
        <w:t xml:space="preserve"> </w:t>
      </w:r>
      <w:r w:rsidR="00B509CF" w:rsidRPr="000243CB">
        <w:rPr>
          <w:bCs/>
        </w:rPr>
        <w:t xml:space="preserve">charges fixes annuelles d’exploitation + GER + </w:t>
      </w:r>
      <w:r w:rsidR="001E069C">
        <w:rPr>
          <w:bCs/>
        </w:rPr>
        <w:t xml:space="preserve">Démantèlement + </w:t>
      </w:r>
      <w:r w:rsidR="00B509CF" w:rsidRPr="000243CB">
        <w:rPr>
          <w:bCs/>
        </w:rPr>
        <w:t>BFR * Taux de rémunération</w:t>
      </w:r>
    </w:p>
    <w:p w14:paraId="4DFAB2F5" w14:textId="58C7FE92" w:rsidR="009A3C9E" w:rsidRPr="00DA2F93" w:rsidRDefault="009A3C9E" w:rsidP="000548E3">
      <w:pPr>
        <w:jc w:val="both"/>
        <w:rPr>
          <w:rFonts w:cs="Arial"/>
        </w:rPr>
      </w:pPr>
      <w:r w:rsidRPr="00DA2F93">
        <w:rPr>
          <w:rFonts w:cs="Arial"/>
        </w:rPr>
        <w:t>La Prime de Puissance Garantie est indexée annuellement à partir de PPG</w:t>
      </w:r>
      <w:r w:rsidR="00FB506A" w:rsidRPr="00DA2F93">
        <w:rPr>
          <w:rFonts w:cs="Arial"/>
          <w:vertAlign w:val="subscript"/>
        </w:rPr>
        <w:t>0</w:t>
      </w:r>
      <w:r w:rsidRPr="00DA2F93">
        <w:rPr>
          <w:rFonts w:cs="Arial"/>
        </w:rPr>
        <w:t xml:space="preserve"> en application de la formule indiquée au §</w:t>
      </w:r>
      <w:r w:rsidR="009A7063" w:rsidRPr="00DA2F93">
        <w:rPr>
          <w:rFonts w:cs="Arial"/>
        </w:rPr>
        <w:t xml:space="preserve"> </w:t>
      </w:r>
      <w:r w:rsidR="00C71C22" w:rsidRPr="00DA2F93">
        <w:fldChar w:fldCharType="begin"/>
      </w:r>
      <w:r w:rsidR="00C71C22" w:rsidRPr="00DA2F93">
        <w:instrText xml:space="preserve"> REF _Ref379046134 \r \h  \* MERGEFORMAT </w:instrText>
      </w:r>
      <w:r w:rsidR="00C71C22" w:rsidRPr="00DA2F93">
        <w:fldChar w:fldCharType="separate"/>
      </w:r>
      <w:r w:rsidR="0042414D" w:rsidRPr="001E4AE7">
        <w:rPr>
          <w:rFonts w:cs="Arial"/>
        </w:rPr>
        <w:t>9.2.1</w:t>
      </w:r>
      <w:r w:rsidR="00C71C22" w:rsidRPr="00DA2F93">
        <w:fldChar w:fldCharType="end"/>
      </w:r>
      <w:r w:rsidR="00225988" w:rsidRPr="00DA2F93">
        <w:rPr>
          <w:rFonts w:cs="Arial"/>
        </w:rPr>
        <w:t xml:space="preserve"> </w:t>
      </w:r>
      <w:r w:rsidRPr="00DA2F93">
        <w:rPr>
          <w:rFonts w:cs="Arial"/>
        </w:rPr>
        <w:t>du présent contrat.</w:t>
      </w:r>
    </w:p>
    <w:p w14:paraId="25B04D6D" w14:textId="77777777" w:rsidR="009E407B" w:rsidRPr="00DA2F93" w:rsidRDefault="009E407B" w:rsidP="000548E3">
      <w:pPr>
        <w:jc w:val="both"/>
        <w:rPr>
          <w:rFonts w:cs="Arial"/>
        </w:rPr>
      </w:pPr>
    </w:p>
    <w:p w14:paraId="77972211" w14:textId="77777777" w:rsidR="009E407B" w:rsidRPr="00DA2F93" w:rsidRDefault="009E407B" w:rsidP="000548E3">
      <w:pPr>
        <w:pStyle w:val="EDFTitre3"/>
        <w:widowControl w:val="0"/>
        <w:autoSpaceDE w:val="0"/>
        <w:autoSpaceDN w:val="0"/>
        <w:adjustRightInd w:val="0"/>
        <w:ind w:right="55"/>
        <w:jc w:val="both"/>
      </w:pPr>
      <w:bookmarkStart w:id="117" w:name="_Toc388896077"/>
      <w:bookmarkStart w:id="118" w:name="_Toc108113927"/>
      <w:bookmarkStart w:id="119" w:name="_Toc110436456"/>
      <w:r w:rsidRPr="00DA2F93">
        <w:t>Fourniture des justificatifs relatifs aux coûts d’investissement et de raccordement</w:t>
      </w:r>
      <w:bookmarkEnd w:id="117"/>
      <w:bookmarkEnd w:id="118"/>
      <w:bookmarkEnd w:id="119"/>
    </w:p>
    <w:p w14:paraId="7C02CD59" w14:textId="6916E068" w:rsidR="009E407B" w:rsidRPr="00DA2F93" w:rsidRDefault="00740687" w:rsidP="000548E3">
      <w:pPr>
        <w:jc w:val="both"/>
      </w:pPr>
      <w:r w:rsidRPr="00DA2F93">
        <w:t xml:space="preserve">Le </w:t>
      </w:r>
      <w:r w:rsidR="00554628" w:rsidRPr="00DA2F93">
        <w:t>Stockeur</w:t>
      </w:r>
      <w:r w:rsidRPr="00DA2F93">
        <w:t xml:space="preserve"> </w:t>
      </w:r>
      <w:r w:rsidR="00FB506A" w:rsidRPr="00DA2F93">
        <w:t xml:space="preserve">fournira, </w:t>
      </w:r>
      <w:r w:rsidR="001E4AE7">
        <w:t xml:space="preserve">au </w:t>
      </w:r>
      <w:r w:rsidR="001E4AE7">
        <w:rPr>
          <w:rFonts w:cs="Arial"/>
        </w:rPr>
        <w:t>service de la Nouvelle-Calédonie compétent en matière d’énergie</w:t>
      </w:r>
      <w:r w:rsidR="009E407B" w:rsidRPr="00DA2F93">
        <w:t xml:space="preserve">, </w:t>
      </w:r>
      <w:r w:rsidR="009E407B" w:rsidRPr="0040681E">
        <w:rPr>
          <w:b/>
        </w:rPr>
        <w:t xml:space="preserve">dans les six mois suivant la date de la </w:t>
      </w:r>
      <w:r w:rsidR="00CD2B9C" w:rsidRPr="0040681E">
        <w:rPr>
          <w:b/>
        </w:rPr>
        <w:t>M</w:t>
      </w:r>
      <w:r w:rsidR="009E407B" w:rsidRPr="0040681E">
        <w:rPr>
          <w:b/>
        </w:rPr>
        <w:t xml:space="preserve">ise en </w:t>
      </w:r>
      <w:r w:rsidR="00CD2B9C" w:rsidRPr="0040681E">
        <w:rPr>
          <w:b/>
        </w:rPr>
        <w:t>S</w:t>
      </w:r>
      <w:r w:rsidR="009E407B" w:rsidRPr="0040681E">
        <w:rPr>
          <w:b/>
        </w:rPr>
        <w:t>ervice</w:t>
      </w:r>
      <w:r w:rsidR="009E407B" w:rsidRPr="0040681E">
        <w:t xml:space="preserve"> </w:t>
      </w:r>
      <w:r w:rsidR="00F71BC8" w:rsidRPr="0040681E">
        <w:rPr>
          <w:b/>
        </w:rPr>
        <w:t>Industrielle</w:t>
      </w:r>
      <w:r w:rsidR="00BC5096" w:rsidRPr="0040681E">
        <w:rPr>
          <w:b/>
        </w:rPr>
        <w:t xml:space="preserve"> </w:t>
      </w:r>
      <w:r w:rsidR="009E407B" w:rsidRPr="0040681E">
        <w:t>de l’</w:t>
      </w:r>
      <w:r w:rsidR="00444045" w:rsidRPr="0040681E">
        <w:t>Installation</w:t>
      </w:r>
      <w:r w:rsidR="009E407B" w:rsidRPr="0040681E">
        <w:t xml:space="preserve"> une synth</w:t>
      </w:r>
      <w:r w:rsidR="009E407B" w:rsidRPr="00DA2F93">
        <w:t xml:space="preserve">èse des informations relatives au coût de construction et de raccordement précisant les montants réels constatés ainsi que les factures associées. </w:t>
      </w:r>
    </w:p>
    <w:p w14:paraId="128CD42F" w14:textId="77777777" w:rsidR="009D158D" w:rsidRPr="00DA2F93" w:rsidRDefault="009D158D" w:rsidP="009D158D">
      <w:pPr>
        <w:jc w:val="both"/>
        <w:rPr>
          <w:rFonts w:cs="Arial"/>
        </w:rPr>
      </w:pPr>
      <w:r w:rsidRPr="00DA2F93">
        <w:rPr>
          <w:rFonts w:cs="Arial"/>
        </w:rPr>
        <w:t>La facturation de la Prime de Puissance Garantie fera l’objet d’une régularisation le mois suivant la signature de l’av</w:t>
      </w:r>
      <w:r w:rsidR="00763FD0" w:rsidRPr="00DA2F93">
        <w:rPr>
          <w:rFonts w:cs="Arial"/>
        </w:rPr>
        <w:t>e</w:t>
      </w:r>
      <w:r w:rsidRPr="00DA2F93">
        <w:rPr>
          <w:rFonts w:cs="Arial"/>
        </w:rPr>
        <w:t>n</w:t>
      </w:r>
      <w:r w:rsidR="00763FD0" w:rsidRPr="00DA2F93">
        <w:rPr>
          <w:rFonts w:cs="Arial"/>
        </w:rPr>
        <w:t>a</w:t>
      </w:r>
      <w:r w:rsidRPr="00DA2F93">
        <w:rPr>
          <w:rFonts w:cs="Arial"/>
        </w:rPr>
        <w:t xml:space="preserve">nt pour tenir compte </w:t>
      </w:r>
      <w:r w:rsidR="00831C27" w:rsidRPr="00DA2F93">
        <w:rPr>
          <w:rFonts w:cs="Arial"/>
        </w:rPr>
        <w:t>de la révision</w:t>
      </w:r>
      <w:r w:rsidR="008C1A58" w:rsidRPr="00DA2F93">
        <w:rPr>
          <w:rFonts w:cs="Arial"/>
        </w:rPr>
        <w:t xml:space="preserve"> d</w:t>
      </w:r>
      <w:r w:rsidR="00CD2B9C" w:rsidRPr="00DA2F93">
        <w:rPr>
          <w:rFonts w:cs="Arial"/>
        </w:rPr>
        <w:t xml:space="preserve">u montant de </w:t>
      </w:r>
      <w:r w:rsidR="008C1A58" w:rsidRPr="00DA2F93">
        <w:rPr>
          <w:rFonts w:cs="Arial"/>
        </w:rPr>
        <w:t>celle-ci</w:t>
      </w:r>
      <w:r w:rsidRPr="00DA2F93">
        <w:rPr>
          <w:rFonts w:cs="Arial"/>
        </w:rPr>
        <w:t>.</w:t>
      </w:r>
    </w:p>
    <w:p w14:paraId="3FB4C480" w14:textId="77777777" w:rsidR="00CD2B9C" w:rsidRPr="00DA2F93" w:rsidRDefault="00CD2B9C" w:rsidP="009D158D">
      <w:pPr>
        <w:jc w:val="both"/>
        <w:rPr>
          <w:rFonts w:cs="Arial"/>
        </w:rPr>
      </w:pPr>
    </w:p>
    <w:p w14:paraId="14E32989" w14:textId="77777777" w:rsidR="00CD2B9C" w:rsidRPr="00DA2F93" w:rsidRDefault="00CD2B9C" w:rsidP="00CD2B9C">
      <w:pPr>
        <w:pStyle w:val="EDFTitre3"/>
        <w:widowControl w:val="0"/>
        <w:autoSpaceDE w:val="0"/>
        <w:autoSpaceDN w:val="0"/>
        <w:adjustRightInd w:val="0"/>
        <w:ind w:right="55"/>
        <w:jc w:val="both"/>
      </w:pPr>
      <w:bookmarkStart w:id="120" w:name="_Toc398661554"/>
      <w:bookmarkStart w:id="121" w:name="_Toc405733593"/>
      <w:bookmarkStart w:id="122" w:name="_Toc406055025"/>
      <w:bookmarkStart w:id="123" w:name="_Toc108113928"/>
      <w:bookmarkStart w:id="124" w:name="_Toc110436457"/>
      <w:r w:rsidRPr="00DA2F93">
        <w:t>Traitement des subventions et des aides fiscales à l’investissement</w:t>
      </w:r>
      <w:bookmarkEnd w:id="120"/>
      <w:r w:rsidRPr="00DA2F93">
        <w:t xml:space="preserve"> spécifiques au projet</w:t>
      </w:r>
      <w:bookmarkEnd w:id="121"/>
      <w:bookmarkEnd w:id="122"/>
      <w:bookmarkEnd w:id="123"/>
      <w:bookmarkEnd w:id="124"/>
    </w:p>
    <w:p w14:paraId="69BD27BC" w14:textId="2DABE474" w:rsidR="008872A2" w:rsidRPr="00DA2F93" w:rsidRDefault="003A3B95" w:rsidP="003A3B95">
      <w:pPr>
        <w:jc w:val="both"/>
        <w:rPr>
          <w:rFonts w:cs="Arial"/>
        </w:rPr>
      </w:pPr>
      <w:r w:rsidRPr="00DA2F93">
        <w:rPr>
          <w:rFonts w:cs="Arial"/>
          <w:color w:val="000000"/>
        </w:rPr>
        <w:t>Si les subventions et/ou le crédit d’Impôt obtenus p</w:t>
      </w:r>
      <w:r w:rsidR="00577143" w:rsidRPr="00DA2F93">
        <w:rPr>
          <w:rFonts w:cs="Arial"/>
          <w:color w:val="000000"/>
        </w:rPr>
        <w:t>our l’Installation de stockage</w:t>
      </w:r>
      <w:r w:rsidRPr="00DA2F93">
        <w:rPr>
          <w:rFonts w:cs="Arial"/>
          <w:color w:val="000000"/>
        </w:rPr>
        <w:t xml:space="preserve"> sont </w:t>
      </w:r>
      <w:r w:rsidR="004B75D2" w:rsidRPr="00DA2F93">
        <w:rPr>
          <w:rFonts w:cs="Arial"/>
          <w:color w:val="000000"/>
        </w:rPr>
        <w:t>remis</w:t>
      </w:r>
      <w:r w:rsidRPr="00DA2F93">
        <w:rPr>
          <w:rFonts w:cs="Arial"/>
          <w:color w:val="000000"/>
        </w:rPr>
        <w:t>es</w:t>
      </w:r>
      <w:r w:rsidR="004B75D2" w:rsidRPr="00DA2F93">
        <w:rPr>
          <w:rFonts w:cs="Arial"/>
          <w:color w:val="000000"/>
        </w:rPr>
        <w:t xml:space="preserve"> en cause</w:t>
      </w:r>
      <w:r w:rsidR="008872A2" w:rsidRPr="00DA2F93">
        <w:rPr>
          <w:rFonts w:cs="Arial"/>
          <w:color w:val="000000"/>
        </w:rPr>
        <w:t xml:space="preserve"> ou</w:t>
      </w:r>
      <w:r w:rsidRPr="00DA2F93">
        <w:rPr>
          <w:rFonts w:cs="Arial"/>
          <w:color w:val="000000"/>
        </w:rPr>
        <w:t xml:space="preserve"> fo</w:t>
      </w:r>
      <w:r w:rsidR="004B75D2" w:rsidRPr="00DA2F93">
        <w:rPr>
          <w:rFonts w:cs="Arial"/>
          <w:color w:val="000000"/>
        </w:rPr>
        <w:t>nt l’objet d’un retrait ou d’une demande de remboursement par l’autorité publique, en tout ou partie, alors la valeur PPG</w:t>
      </w:r>
      <w:r w:rsidR="004B75D2" w:rsidRPr="00DA2F93">
        <w:rPr>
          <w:rFonts w:cs="Arial"/>
          <w:color w:val="000000"/>
          <w:vertAlign w:val="subscript"/>
        </w:rPr>
        <w:t>0</w:t>
      </w:r>
      <w:r w:rsidR="004B75D2" w:rsidRPr="00DA2F93">
        <w:rPr>
          <w:rFonts w:cs="Arial"/>
          <w:color w:val="000000"/>
        </w:rPr>
        <w:t xml:space="preserve"> sera ajustée afin de couvrir les conséquences afférentes à cette remise en cause, ce retrait et/ou ce remboursement</w:t>
      </w:r>
      <w:r w:rsidR="008872A2" w:rsidRPr="00DA2F93">
        <w:rPr>
          <w:rFonts w:cs="Arial"/>
        </w:rPr>
        <w:t xml:space="preserve"> sous réserve de fourniture des justificatifs</w:t>
      </w:r>
      <w:r w:rsidRPr="00DA2F93">
        <w:rPr>
          <w:rFonts w:cs="Arial"/>
        </w:rPr>
        <w:t xml:space="preserve"> et de l’accord </w:t>
      </w:r>
      <w:r w:rsidR="00071ABB">
        <w:rPr>
          <w:rFonts w:cs="Arial"/>
        </w:rPr>
        <w:t>du service de la Nouvelle-Calédonie compétent en matière d’énergie</w:t>
      </w:r>
      <w:r w:rsidRPr="00DA2F93">
        <w:rPr>
          <w:rFonts w:cs="Arial"/>
        </w:rPr>
        <w:t xml:space="preserve">. </w:t>
      </w:r>
      <w:r w:rsidR="008872A2" w:rsidRPr="00DA2F93">
        <w:rPr>
          <w:rFonts w:cs="Arial"/>
        </w:rPr>
        <w:t xml:space="preserve"> </w:t>
      </w:r>
    </w:p>
    <w:p w14:paraId="18AA55A1" w14:textId="77777777" w:rsidR="008872A2" w:rsidRPr="00DA2F93" w:rsidRDefault="008872A2" w:rsidP="00CD2B9C">
      <w:pPr>
        <w:jc w:val="both"/>
        <w:rPr>
          <w:rFonts w:cs="Arial"/>
          <w:color w:val="000000"/>
        </w:rPr>
      </w:pPr>
    </w:p>
    <w:p w14:paraId="59A3BE67" w14:textId="3667F47B" w:rsidR="001B479D" w:rsidRPr="00DA2F93" w:rsidRDefault="001B479D" w:rsidP="00CD2B9C">
      <w:pPr>
        <w:jc w:val="both"/>
        <w:rPr>
          <w:rFonts w:cs="Arial"/>
          <w:color w:val="000000"/>
        </w:rPr>
      </w:pPr>
      <w:r w:rsidRPr="00DA2F93">
        <w:rPr>
          <w:rFonts w:cs="Arial"/>
          <w:color w:val="000000"/>
        </w:rPr>
        <w:t xml:space="preserve">Une facture de régularisation sera alors émise par le </w:t>
      </w:r>
      <w:r w:rsidR="00554628" w:rsidRPr="00DA2F93">
        <w:rPr>
          <w:rFonts w:cs="Arial"/>
          <w:color w:val="000000"/>
        </w:rPr>
        <w:t>Stockeur</w:t>
      </w:r>
      <w:r w:rsidRPr="00DA2F93">
        <w:rPr>
          <w:rFonts w:cs="Arial"/>
          <w:color w:val="000000"/>
        </w:rPr>
        <w:t xml:space="preserve"> et payée par l</w:t>
      </w:r>
      <w:r w:rsidR="00673CB8" w:rsidRPr="00DA2F93">
        <w:rPr>
          <w:rFonts w:cs="Arial"/>
          <w:color w:val="000000"/>
        </w:rPr>
        <w:t xml:space="preserve">e </w:t>
      </w:r>
      <w:r w:rsidR="00B361C0">
        <w:rPr>
          <w:rFonts w:cs="Arial"/>
          <w:color w:val="000000"/>
        </w:rPr>
        <w:t>GRT</w:t>
      </w:r>
      <w:r w:rsidRPr="00DA2F93">
        <w:rPr>
          <w:rFonts w:cs="Arial"/>
          <w:color w:val="000000"/>
        </w:rPr>
        <w:t xml:space="preserve"> selon les modalités </w:t>
      </w:r>
      <w:r w:rsidR="00111810" w:rsidRPr="00DA2F93">
        <w:rPr>
          <w:rFonts w:cs="Arial"/>
          <w:color w:val="000000"/>
        </w:rPr>
        <w:t>de facturation</w:t>
      </w:r>
      <w:r w:rsidR="000D3266" w:rsidRPr="00DA2F93">
        <w:rPr>
          <w:rFonts w:cs="Arial"/>
          <w:color w:val="000000"/>
        </w:rPr>
        <w:t xml:space="preserve"> définies au </w:t>
      </w:r>
      <w:r w:rsidR="000D3266" w:rsidRPr="00DA2F93">
        <w:rPr>
          <w:rFonts w:cs="Arial"/>
        </w:rPr>
        <w:t xml:space="preserve">§ </w:t>
      </w:r>
      <w:r w:rsidR="00C71C22" w:rsidRPr="00DA2F93">
        <w:fldChar w:fldCharType="begin"/>
      </w:r>
      <w:r w:rsidR="00C71C22" w:rsidRPr="00DA2F93">
        <w:instrText xml:space="preserve"> REF _Ref417978545 \r \h  \* MERGEFORMAT </w:instrText>
      </w:r>
      <w:r w:rsidR="00C71C22" w:rsidRPr="00DA2F93">
        <w:fldChar w:fldCharType="separate"/>
      </w:r>
      <w:r w:rsidR="0042414D" w:rsidRPr="001E4AE7">
        <w:rPr>
          <w:rFonts w:cs="Arial"/>
        </w:rPr>
        <w:t>16</w:t>
      </w:r>
      <w:r w:rsidR="00C71C22" w:rsidRPr="00DA2F93">
        <w:fldChar w:fldCharType="end"/>
      </w:r>
      <w:r w:rsidRPr="00DA2F93">
        <w:rPr>
          <w:rFonts w:cs="Arial"/>
          <w:color w:val="000000"/>
        </w:rPr>
        <w:t xml:space="preserve">.  </w:t>
      </w:r>
    </w:p>
    <w:p w14:paraId="79CC691B" w14:textId="77777777" w:rsidR="00B973A4" w:rsidRPr="00DA2F93" w:rsidRDefault="00B973A4" w:rsidP="000548E3">
      <w:pPr>
        <w:jc w:val="both"/>
        <w:rPr>
          <w:rFonts w:cs="Arial"/>
        </w:rPr>
      </w:pPr>
    </w:p>
    <w:p w14:paraId="31E91C08" w14:textId="77777777" w:rsidR="009542A0" w:rsidRPr="00DA2F93" w:rsidRDefault="009542A0" w:rsidP="000548E3">
      <w:pPr>
        <w:pStyle w:val="EDFTitre2"/>
        <w:jc w:val="both"/>
      </w:pPr>
      <w:bookmarkStart w:id="125" w:name="_Toc388896078"/>
      <w:bookmarkStart w:id="126" w:name="_Toc108113929"/>
      <w:bookmarkStart w:id="127" w:name="_Toc110436458"/>
      <w:r w:rsidRPr="00DA2F93">
        <w:t>Etablissement du système d’indexation de la prime de puissance garantie</w:t>
      </w:r>
      <w:bookmarkEnd w:id="125"/>
      <w:bookmarkEnd w:id="126"/>
      <w:bookmarkEnd w:id="127"/>
    </w:p>
    <w:p w14:paraId="56E5360C" w14:textId="77777777" w:rsidR="001F4687" w:rsidRPr="00DA2F93" w:rsidRDefault="001F4687" w:rsidP="000548E3">
      <w:pPr>
        <w:pStyle w:val="EDFTitre3"/>
        <w:widowControl w:val="0"/>
        <w:autoSpaceDE w:val="0"/>
        <w:autoSpaceDN w:val="0"/>
        <w:adjustRightInd w:val="0"/>
        <w:ind w:right="55"/>
        <w:jc w:val="both"/>
      </w:pPr>
      <w:bookmarkStart w:id="128" w:name="_Ref379046134"/>
      <w:bookmarkStart w:id="129" w:name="_Toc388896079"/>
      <w:bookmarkStart w:id="130" w:name="_Toc108113930"/>
      <w:bookmarkStart w:id="131" w:name="_Toc110436459"/>
      <w:r w:rsidRPr="00DA2F93">
        <w:t xml:space="preserve">Formule d’indexation de la </w:t>
      </w:r>
      <w:r w:rsidR="00894E31" w:rsidRPr="00DA2F93">
        <w:t>P</w:t>
      </w:r>
      <w:r w:rsidRPr="00DA2F93">
        <w:t xml:space="preserve">rime de </w:t>
      </w:r>
      <w:r w:rsidR="00894E31" w:rsidRPr="00DA2F93">
        <w:t>P</w:t>
      </w:r>
      <w:r w:rsidRPr="00DA2F93">
        <w:t xml:space="preserve">uissance </w:t>
      </w:r>
      <w:r w:rsidR="00894E31" w:rsidRPr="00DA2F93">
        <w:t>G</w:t>
      </w:r>
      <w:r w:rsidRPr="00DA2F93">
        <w:t>arantie</w:t>
      </w:r>
      <w:bookmarkEnd w:id="128"/>
      <w:bookmarkEnd w:id="129"/>
      <w:bookmarkEnd w:id="130"/>
      <w:bookmarkEnd w:id="131"/>
    </w:p>
    <w:p w14:paraId="32574DB7" w14:textId="77777777" w:rsidR="00587AD2" w:rsidRPr="00DA2F93" w:rsidRDefault="00EE3D00" w:rsidP="00587AD2">
      <w:pPr>
        <w:pStyle w:val="corpsdetexte0"/>
        <w:rPr>
          <w:rFonts w:ascii="Arial" w:hAnsi="Arial"/>
          <w:sz w:val="22"/>
          <w:szCs w:val="22"/>
        </w:rPr>
      </w:pPr>
      <w:r w:rsidRPr="00DA2F93">
        <w:rPr>
          <w:rFonts w:ascii="Arial" w:hAnsi="Arial"/>
          <w:sz w:val="22"/>
          <w:szCs w:val="22"/>
        </w:rPr>
        <w:t>La valeur de référence initiale de la Prime de Puissance Garantie (PPG</w:t>
      </w:r>
      <w:r w:rsidRPr="00DA2F93">
        <w:rPr>
          <w:rFonts w:ascii="Arial" w:hAnsi="Arial"/>
          <w:sz w:val="22"/>
          <w:szCs w:val="22"/>
          <w:vertAlign w:val="subscript"/>
        </w:rPr>
        <w:t>0</w:t>
      </w:r>
      <w:r w:rsidRPr="00DA2F93">
        <w:rPr>
          <w:rFonts w:ascii="Arial" w:hAnsi="Arial"/>
          <w:sz w:val="22"/>
          <w:szCs w:val="22"/>
        </w:rPr>
        <w:t>) fixée ci-dessus est une valeur à la date de référence. A partir de ce montant initial, le montant de la Prime de Puissance Garantie est calculé tous les mois et indexé au 1</w:t>
      </w:r>
      <w:r w:rsidRPr="00DA2F93">
        <w:rPr>
          <w:rFonts w:ascii="Arial" w:hAnsi="Arial"/>
          <w:sz w:val="22"/>
          <w:szCs w:val="22"/>
          <w:vertAlign w:val="superscript"/>
        </w:rPr>
        <w:t>er</w:t>
      </w:r>
      <w:r w:rsidRPr="00DA2F93">
        <w:rPr>
          <w:rFonts w:ascii="Arial" w:hAnsi="Arial"/>
          <w:sz w:val="22"/>
          <w:szCs w:val="22"/>
        </w:rPr>
        <w:t xml:space="preserve"> janvier de chaque année à partir de la formule générale suivante :</w:t>
      </w:r>
    </w:p>
    <w:p w14:paraId="43DEA699" w14:textId="2200A3AE" w:rsidR="00280516" w:rsidRPr="000243CB" w:rsidRDefault="00A775B6" w:rsidP="000243CB">
      <w:pPr>
        <w:pStyle w:val="Paragraphedeliste"/>
        <w:spacing w:before="0" w:after="0"/>
        <w:ind w:left="705"/>
        <w:jc w:val="both"/>
        <w:rPr>
          <w:sz w:val="28"/>
          <w:lang w:val="pt-BR"/>
        </w:rPr>
      </w:pPr>
      <m:oMathPara>
        <m:oMath>
          <m:sSub>
            <m:sSubPr>
              <m:ctrlPr>
                <w:rPr>
                  <w:rFonts w:ascii="Cambria Math" w:hAnsi="Cambria Math"/>
                  <w:sz w:val="28"/>
                  <w:lang w:val="pt-BR"/>
                </w:rPr>
              </m:ctrlPr>
            </m:sSubPr>
            <m:e>
              <m:r>
                <m:rPr>
                  <m:sty m:val="p"/>
                </m:rPr>
                <w:rPr>
                  <w:rFonts w:ascii="Cambria Math" w:hAnsi="Cambria Math"/>
                  <w:sz w:val="28"/>
                  <w:lang w:val="pt-BR"/>
                </w:rPr>
                <m:t>PPG</m:t>
              </m:r>
            </m:e>
            <m:sub>
              <m:r>
                <m:rPr>
                  <m:sty m:val="p"/>
                </m:rPr>
                <w:rPr>
                  <w:rFonts w:ascii="Cambria Math" w:hAnsi="Cambria Math"/>
                  <w:sz w:val="28"/>
                  <w:lang w:val="pt-BR"/>
                </w:rPr>
                <m:t>nm</m:t>
              </m:r>
            </m:sub>
          </m:sSub>
          <m:r>
            <m:rPr>
              <m:sty m:val="p"/>
            </m:rPr>
            <w:rPr>
              <w:rFonts w:ascii="Cambria Math" w:hAnsi="Cambria Math"/>
              <w:sz w:val="28"/>
              <w:lang w:val="pt-BR"/>
            </w:rPr>
            <m:t>=</m:t>
          </m:r>
          <m:f>
            <m:fPr>
              <m:ctrlPr>
                <w:rPr>
                  <w:rFonts w:ascii="Cambria Math" w:hAnsi="Cambria Math"/>
                  <w:sz w:val="28"/>
                  <w:lang w:val="pt-BR"/>
                </w:rPr>
              </m:ctrlPr>
            </m:fPr>
            <m:num>
              <m:sSub>
                <m:sSubPr>
                  <m:ctrlPr>
                    <w:rPr>
                      <w:rFonts w:ascii="Cambria Math" w:hAnsi="Cambria Math"/>
                      <w:sz w:val="28"/>
                      <w:lang w:val="pt-BR"/>
                    </w:rPr>
                  </m:ctrlPr>
                </m:sSubPr>
                <m:e>
                  <m:r>
                    <m:rPr>
                      <m:sty m:val="p"/>
                    </m:rPr>
                    <w:rPr>
                      <w:rFonts w:ascii="Cambria Math" w:hAnsi="Cambria Math"/>
                      <w:sz w:val="28"/>
                      <w:lang w:val="pt-BR"/>
                    </w:rPr>
                    <m:t>PPG</m:t>
                  </m:r>
                </m:e>
                <m:sub>
                  <m:r>
                    <m:rPr>
                      <m:sty m:val="p"/>
                    </m:rPr>
                    <w:rPr>
                      <w:rFonts w:ascii="Cambria Math" w:hAnsi="Cambria Math"/>
                      <w:sz w:val="28"/>
                      <w:lang w:val="pt-BR"/>
                    </w:rPr>
                    <m:t>0</m:t>
                  </m:r>
                </m:sub>
              </m:sSub>
            </m:num>
            <m:den>
              <m:r>
                <m:rPr>
                  <m:sty m:val="p"/>
                </m:rPr>
                <w:rPr>
                  <w:rFonts w:ascii="Cambria Math" w:hAnsi="Cambria Math"/>
                  <w:sz w:val="28"/>
                  <w:lang w:val="pt-BR"/>
                </w:rPr>
                <m:t>12</m:t>
              </m:r>
            </m:den>
          </m:f>
          <m:r>
            <m:rPr>
              <m:sty m:val="p"/>
            </m:rPr>
            <w:rPr>
              <w:rFonts w:ascii="Cambria Math" w:hAnsi="Cambria Math"/>
              <w:sz w:val="28"/>
              <w:lang w:val="pt-BR"/>
            </w:rPr>
            <m:t>*</m:t>
          </m:r>
          <m:d>
            <m:dPr>
              <m:ctrlPr>
                <w:rPr>
                  <w:rFonts w:ascii="Cambria Math" w:hAnsi="Cambria Math"/>
                  <w:sz w:val="28"/>
                  <w:lang w:val="pt-BR"/>
                </w:rPr>
              </m:ctrlPr>
            </m:dPr>
            <m:e>
              <m:r>
                <m:rPr>
                  <m:sty m:val="p"/>
                </m:rPr>
                <w:rPr>
                  <w:rFonts w:ascii="Cambria Math" w:hAnsi="Cambria Math"/>
                  <w:sz w:val="28"/>
                  <w:lang w:val="pt-BR"/>
                </w:rPr>
                <m:t>a*</m:t>
              </m:r>
              <m:d>
                <m:dPr>
                  <m:ctrlPr>
                    <w:rPr>
                      <w:rFonts w:ascii="Cambria Math" w:hAnsi="Cambria Math"/>
                      <w:sz w:val="28"/>
                      <w:lang w:val="pt-BR"/>
                    </w:rPr>
                  </m:ctrlPr>
                </m:dPr>
                <m:e>
                  <m:r>
                    <m:rPr>
                      <m:sty m:val="p"/>
                    </m:rPr>
                    <w:rPr>
                      <w:rFonts w:ascii="Cambria Math" w:hAnsi="Cambria Math"/>
                      <w:sz w:val="28"/>
                      <w:lang w:val="pt-BR"/>
                    </w:rPr>
                    <m:t>1-</m:t>
                  </m:r>
                  <m:f>
                    <m:fPr>
                      <m:ctrlPr>
                        <w:rPr>
                          <w:rFonts w:ascii="Cambria Math" w:hAnsi="Cambria Math"/>
                          <w:sz w:val="28"/>
                          <w:lang w:val="pt-BR"/>
                        </w:rPr>
                      </m:ctrlPr>
                    </m:fPr>
                    <m:num>
                      <m:r>
                        <m:rPr>
                          <m:sty m:val="p"/>
                        </m:rPr>
                        <w:rPr>
                          <w:rFonts w:ascii="Cambria Math" w:hAnsi="Cambria Math"/>
                          <w:sz w:val="28"/>
                          <w:lang w:val="pt-BR"/>
                        </w:rPr>
                        <m:t>x</m:t>
                      </m:r>
                    </m:num>
                    <m:den>
                      <m:r>
                        <m:rPr>
                          <m:sty m:val="p"/>
                        </m:rPr>
                        <w:rPr>
                          <w:rFonts w:ascii="Cambria Math" w:hAnsi="Cambria Math"/>
                          <w:sz w:val="28"/>
                          <w:lang w:val="pt-BR"/>
                        </w:rPr>
                        <m:t>N</m:t>
                      </m:r>
                    </m:den>
                  </m:f>
                </m:e>
              </m:d>
              <m:r>
                <m:rPr>
                  <m:sty m:val="p"/>
                </m:rPr>
                <w:rPr>
                  <w:rFonts w:ascii="Cambria Math" w:hAnsi="Cambria Math"/>
                  <w:sz w:val="28"/>
                  <w:lang w:val="pt-BR"/>
                </w:rPr>
                <m:t>+b+c*</m:t>
              </m:r>
              <m:f>
                <m:fPr>
                  <m:ctrlPr>
                    <w:rPr>
                      <w:rFonts w:ascii="Cambria Math" w:hAnsi="Cambria Math"/>
                      <w:sz w:val="28"/>
                      <w:lang w:val="pt-BR"/>
                    </w:rPr>
                  </m:ctrlPr>
                </m:fPr>
                <m:num>
                  <m:sSub>
                    <m:sSubPr>
                      <m:ctrlPr>
                        <w:rPr>
                          <w:rFonts w:ascii="Cambria Math" w:hAnsi="Cambria Math"/>
                          <w:sz w:val="28"/>
                          <w:lang w:val="pt-BR"/>
                        </w:rPr>
                      </m:ctrlPr>
                    </m:sSubPr>
                    <m:e>
                      <m:r>
                        <m:rPr>
                          <m:sty m:val="p"/>
                        </m:rPr>
                        <w:rPr>
                          <w:rFonts w:ascii="Cambria Math" w:hAnsi="Cambria Math"/>
                          <w:sz w:val="28"/>
                          <w:lang w:val="pt-BR"/>
                        </w:rPr>
                        <m:t>IM</m:t>
                      </m:r>
                    </m:e>
                    <m:sub>
                      <m:r>
                        <m:rPr>
                          <m:sty m:val="p"/>
                        </m:rPr>
                        <w:rPr>
                          <w:rFonts w:ascii="Cambria Math" w:hAnsi="Cambria Math"/>
                          <w:sz w:val="28"/>
                          <w:lang w:val="pt-BR"/>
                        </w:rPr>
                        <m:t>n</m:t>
                      </m:r>
                    </m:sub>
                  </m:sSub>
                </m:num>
                <m:den>
                  <m:sSub>
                    <m:sSubPr>
                      <m:ctrlPr>
                        <w:rPr>
                          <w:rFonts w:ascii="Cambria Math" w:hAnsi="Cambria Math"/>
                          <w:sz w:val="28"/>
                          <w:lang w:val="pt-BR"/>
                        </w:rPr>
                      </m:ctrlPr>
                    </m:sSubPr>
                    <m:e>
                      <m:r>
                        <m:rPr>
                          <m:sty m:val="p"/>
                        </m:rPr>
                        <w:rPr>
                          <w:rFonts w:ascii="Cambria Math" w:hAnsi="Cambria Math"/>
                          <w:sz w:val="28"/>
                          <w:lang w:val="pt-BR"/>
                        </w:rPr>
                        <m:t>IM</m:t>
                      </m:r>
                    </m:e>
                    <m:sub>
                      <m:r>
                        <m:rPr>
                          <m:sty m:val="p"/>
                        </m:rPr>
                        <w:rPr>
                          <w:rFonts w:ascii="Cambria Math" w:hAnsi="Cambria Math"/>
                          <w:sz w:val="28"/>
                          <w:lang w:val="pt-BR"/>
                        </w:rPr>
                        <m:t>0</m:t>
                      </m:r>
                    </m:sub>
                  </m:sSub>
                </m:den>
              </m:f>
              <m:r>
                <m:rPr>
                  <m:sty m:val="p"/>
                </m:rPr>
                <w:rPr>
                  <w:rFonts w:ascii="Cambria Math" w:hAnsi="Cambria Math"/>
                  <w:sz w:val="28"/>
                  <w:lang w:val="pt-BR"/>
                </w:rPr>
                <m:t>+d*</m:t>
              </m:r>
              <m:f>
                <m:fPr>
                  <m:ctrlPr>
                    <w:rPr>
                      <w:rFonts w:ascii="Cambria Math" w:hAnsi="Cambria Math"/>
                      <w:sz w:val="28"/>
                      <w:lang w:val="pt-BR"/>
                    </w:rPr>
                  </m:ctrlPr>
                </m:fPr>
                <m:num>
                  <m:sSub>
                    <m:sSubPr>
                      <m:ctrlPr>
                        <w:rPr>
                          <w:rFonts w:ascii="Cambria Math" w:hAnsi="Cambria Math"/>
                          <w:sz w:val="28"/>
                          <w:lang w:val="pt-BR"/>
                        </w:rPr>
                      </m:ctrlPr>
                    </m:sSubPr>
                    <m:e>
                      <m:r>
                        <m:rPr>
                          <m:sty m:val="p"/>
                        </m:rPr>
                        <w:rPr>
                          <w:rFonts w:ascii="Cambria Math" w:hAnsi="Cambria Math"/>
                          <w:sz w:val="28"/>
                          <w:lang w:val="pt-BR"/>
                        </w:rPr>
                        <m:t>SAL</m:t>
                      </m:r>
                    </m:e>
                    <m:sub>
                      <m:r>
                        <m:rPr>
                          <m:sty m:val="p"/>
                        </m:rPr>
                        <w:rPr>
                          <w:rFonts w:ascii="Cambria Math" w:hAnsi="Cambria Math"/>
                          <w:sz w:val="28"/>
                          <w:lang w:val="pt-BR"/>
                        </w:rPr>
                        <m:t>n</m:t>
                      </m:r>
                    </m:sub>
                  </m:sSub>
                </m:num>
                <m:den>
                  <m:sSub>
                    <m:sSubPr>
                      <m:ctrlPr>
                        <w:rPr>
                          <w:rFonts w:ascii="Cambria Math" w:hAnsi="Cambria Math"/>
                          <w:sz w:val="28"/>
                          <w:lang w:val="pt-BR"/>
                        </w:rPr>
                      </m:ctrlPr>
                    </m:sSubPr>
                    <m:e>
                      <m:r>
                        <m:rPr>
                          <m:sty m:val="p"/>
                        </m:rPr>
                        <w:rPr>
                          <w:rFonts w:ascii="Cambria Math" w:hAnsi="Cambria Math"/>
                          <w:sz w:val="28"/>
                          <w:lang w:val="pt-BR"/>
                        </w:rPr>
                        <m:t>SAL</m:t>
                      </m:r>
                    </m:e>
                    <m:sub>
                      <m:r>
                        <m:rPr>
                          <m:sty m:val="p"/>
                        </m:rPr>
                        <w:rPr>
                          <w:rFonts w:ascii="Cambria Math" w:hAnsi="Cambria Math"/>
                          <w:sz w:val="28"/>
                          <w:lang w:val="pt-BR"/>
                        </w:rPr>
                        <m:t>0</m:t>
                      </m:r>
                    </m:sub>
                  </m:sSub>
                </m:den>
              </m:f>
              <m:r>
                <m:rPr>
                  <m:sty m:val="p"/>
                </m:rPr>
                <w:rPr>
                  <w:rFonts w:ascii="Cambria Math" w:hAnsi="Cambria Math"/>
                  <w:sz w:val="28"/>
                  <w:lang w:val="pt-BR"/>
                </w:rPr>
                <m:t>+e*</m:t>
              </m:r>
              <m:f>
                <m:fPr>
                  <m:ctrlPr>
                    <w:rPr>
                      <w:rFonts w:ascii="Cambria Math" w:hAnsi="Cambria Math"/>
                      <w:sz w:val="28"/>
                      <w:lang w:val="pt-BR"/>
                    </w:rPr>
                  </m:ctrlPr>
                </m:fPr>
                <m:num>
                  <m:sSub>
                    <m:sSubPr>
                      <m:ctrlPr>
                        <w:rPr>
                          <w:rFonts w:ascii="Cambria Math" w:hAnsi="Cambria Math"/>
                          <w:sz w:val="28"/>
                          <w:lang w:val="pt-BR"/>
                        </w:rPr>
                      </m:ctrlPr>
                    </m:sSubPr>
                    <m:e>
                      <m:r>
                        <m:rPr>
                          <m:sty m:val="p"/>
                        </m:rPr>
                        <w:rPr>
                          <w:rFonts w:ascii="Cambria Math" w:hAnsi="Cambria Math"/>
                          <w:sz w:val="28"/>
                          <w:lang w:val="pt-BR"/>
                        </w:rPr>
                        <m:t>Ind</m:t>
                      </m:r>
                    </m:e>
                    <m:sub>
                      <m:r>
                        <m:rPr>
                          <m:sty m:val="p"/>
                        </m:rPr>
                        <w:rPr>
                          <w:rFonts w:ascii="Cambria Math" w:hAnsi="Cambria Math"/>
                          <w:sz w:val="28"/>
                          <w:lang w:val="pt-BR"/>
                        </w:rPr>
                        <m:t>n</m:t>
                      </m:r>
                    </m:sub>
                  </m:sSub>
                </m:num>
                <m:den>
                  <m:sSub>
                    <m:sSubPr>
                      <m:ctrlPr>
                        <w:rPr>
                          <w:rFonts w:ascii="Cambria Math" w:hAnsi="Cambria Math"/>
                          <w:sz w:val="28"/>
                          <w:lang w:val="pt-BR"/>
                        </w:rPr>
                      </m:ctrlPr>
                    </m:sSubPr>
                    <m:e>
                      <m:r>
                        <m:rPr>
                          <m:sty m:val="p"/>
                        </m:rPr>
                        <w:rPr>
                          <w:rFonts w:ascii="Cambria Math" w:hAnsi="Cambria Math"/>
                          <w:sz w:val="28"/>
                          <w:lang w:val="pt-BR"/>
                        </w:rPr>
                        <m:t>Ind</m:t>
                      </m:r>
                    </m:e>
                    <m:sub>
                      <m:r>
                        <m:rPr>
                          <m:sty m:val="p"/>
                        </m:rPr>
                        <w:rPr>
                          <w:rFonts w:ascii="Cambria Math" w:hAnsi="Cambria Math"/>
                          <w:sz w:val="28"/>
                          <w:lang w:val="pt-BR"/>
                        </w:rPr>
                        <m:t>0</m:t>
                      </m:r>
                    </m:sub>
                  </m:sSub>
                </m:den>
              </m:f>
            </m:e>
          </m:d>
        </m:oMath>
      </m:oMathPara>
    </w:p>
    <w:p w14:paraId="7E834D9C" w14:textId="77777777" w:rsidR="0040681E" w:rsidRDefault="0040681E" w:rsidP="00587AD2">
      <w:pPr>
        <w:pStyle w:val="corpsdetexte0"/>
        <w:rPr>
          <w:rFonts w:ascii="Arial" w:hAnsi="Arial"/>
          <w:sz w:val="22"/>
          <w:szCs w:val="22"/>
          <w:lang w:val="pt-BR"/>
        </w:rPr>
      </w:pPr>
    </w:p>
    <w:p w14:paraId="5FAE4808" w14:textId="77777777" w:rsidR="00587AD2" w:rsidRPr="00DA2F93" w:rsidRDefault="00EE3D00" w:rsidP="00587AD2">
      <w:pPr>
        <w:pStyle w:val="corpsdetexte0"/>
        <w:rPr>
          <w:rFonts w:ascii="Arial" w:hAnsi="Arial"/>
          <w:sz w:val="22"/>
          <w:szCs w:val="22"/>
          <w:lang w:val="pt-BR"/>
        </w:rPr>
      </w:pPr>
      <w:r w:rsidRPr="00DA2F93">
        <w:rPr>
          <w:rFonts w:ascii="Arial" w:hAnsi="Arial"/>
          <w:sz w:val="22"/>
          <w:szCs w:val="22"/>
          <w:lang w:val="pt-BR"/>
        </w:rPr>
        <w:lastRenderedPageBreak/>
        <w:t>Avec :</w:t>
      </w:r>
    </w:p>
    <w:p w14:paraId="3C0E3259" w14:textId="682BA916" w:rsidR="00587AD2" w:rsidRPr="00DA2F93" w:rsidRDefault="00A775B6" w:rsidP="00587AD2">
      <w:pPr>
        <w:pStyle w:val="corpsdetexte0"/>
        <w:rPr>
          <w:rFonts w:ascii="Arial" w:hAnsi="Arial"/>
          <w:iCs/>
          <w:sz w:val="22"/>
          <w:szCs w:val="22"/>
        </w:rPr>
      </w:pPr>
      <m:oMathPara>
        <m:oMath>
          <m:sSub>
            <m:sSubPr>
              <m:ctrlPr>
                <w:rPr>
                  <w:rFonts w:ascii="Cambria Math" w:hAnsi="Cambria Math"/>
                  <w:iCs/>
                  <w:sz w:val="22"/>
                  <w:szCs w:val="22"/>
                </w:rPr>
              </m:ctrlPr>
            </m:sSubPr>
            <m:e>
              <m:r>
                <m:rPr>
                  <m:sty m:val="p"/>
                </m:rPr>
                <w:rPr>
                  <w:rFonts w:ascii="Cambria Math" w:hAnsi="Cambria Math"/>
                  <w:sz w:val="22"/>
                  <w:szCs w:val="22"/>
                </w:rPr>
                <m:t>Ind</m:t>
              </m:r>
            </m:e>
            <m:sub>
              <m:r>
                <m:rPr>
                  <m:sty m:val="p"/>
                </m:rPr>
                <w:rPr>
                  <w:rFonts w:ascii="Cambria Math" w:hAnsi="Cambria Math"/>
                  <w:sz w:val="22"/>
                  <w:szCs w:val="22"/>
                </w:rPr>
                <m:t>n</m:t>
              </m:r>
            </m:sub>
          </m:sSub>
          <m:r>
            <m:rPr>
              <m:sty m:val="p"/>
            </m:rPr>
            <w:rPr>
              <w:rFonts w:ascii="Cambria Math" w:hAnsi="Cambria Math"/>
              <w:sz w:val="22"/>
              <w:szCs w:val="22"/>
            </w:rPr>
            <m:t>=</m:t>
          </m:r>
          <m:sSub>
            <m:sSubPr>
              <m:ctrlPr>
                <w:rPr>
                  <w:rFonts w:ascii="Cambria Math" w:hAnsi="Cambria Math"/>
                  <w:iCs/>
                  <w:sz w:val="22"/>
                  <w:szCs w:val="22"/>
                </w:rPr>
              </m:ctrlPr>
            </m:sSubPr>
            <m:e>
              <m:r>
                <m:rPr>
                  <m:sty m:val="p"/>
                </m:rPr>
                <w:rPr>
                  <w:rFonts w:ascii="Cambria Math" w:hAnsi="Cambria Math"/>
                  <w:sz w:val="22"/>
                  <w:szCs w:val="22"/>
                </w:rPr>
                <m:t>Ind</m:t>
              </m:r>
            </m:e>
            <m:sub>
              <m:r>
                <m:rPr>
                  <m:sty m:val="p"/>
                </m:rPr>
                <w:rPr>
                  <w:rFonts w:ascii="Cambria Math" w:hAnsi="Cambria Math"/>
                  <w:sz w:val="22"/>
                  <w:szCs w:val="22"/>
                </w:rPr>
                <m:t>0</m:t>
              </m:r>
            </m:sub>
          </m:sSub>
          <m:r>
            <m:rPr>
              <m:sty m:val="p"/>
            </m:rPr>
            <w:rPr>
              <w:rFonts w:ascii="Cambria Math" w:hAnsi="Cambria Math" w:hint="eastAsia"/>
              <w:sz w:val="22"/>
              <w:szCs w:val="22"/>
            </w:rPr>
            <m:t>×</m:t>
          </m:r>
          <m:r>
            <m:rPr>
              <m:sty m:val="p"/>
            </m:rPr>
            <w:rPr>
              <w:rFonts w:ascii="Cambria Math" w:hAnsi="Cambria Math"/>
              <w:sz w:val="22"/>
              <w:szCs w:val="22"/>
            </w:rPr>
            <m:t xml:space="preserve">1,000 </m:t>
          </m:r>
          <m:r>
            <m:rPr>
              <m:sty m:val="p"/>
            </m:rPr>
            <w:rPr>
              <w:rFonts w:ascii="Cambria Math" w:hAnsi="Cambria Math" w:hint="eastAsia"/>
              <w:sz w:val="22"/>
              <w:szCs w:val="22"/>
            </w:rPr>
            <m:t>×</m:t>
          </m:r>
          <m:f>
            <m:fPr>
              <m:ctrlPr>
                <w:rPr>
                  <w:rFonts w:ascii="Cambria Math" w:hAnsi="Cambria Math"/>
                  <w:iCs/>
                  <w:sz w:val="22"/>
                  <w:szCs w:val="22"/>
                </w:rPr>
              </m:ctrlPr>
            </m:fPr>
            <m:num>
              <m:sSub>
                <m:sSubPr>
                  <m:ctrlPr>
                    <w:rPr>
                      <w:rFonts w:ascii="Cambria Math" w:hAnsi="Cambria Math"/>
                      <w:iCs/>
                      <w:sz w:val="22"/>
                      <w:szCs w:val="22"/>
                    </w:rPr>
                  </m:ctrlPr>
                </m:sSubPr>
                <m:e>
                  <m:r>
                    <m:rPr>
                      <m:sty m:val="p"/>
                    </m:rPr>
                    <w:rPr>
                      <w:rFonts w:ascii="Cambria Math" w:hAnsi="Cambria Math"/>
                      <w:color w:val="000000" w:themeColor="text1"/>
                      <w:sz w:val="22"/>
                      <w:szCs w:val="22"/>
                    </w:rPr>
                    <m:t>IM</m:t>
                  </m:r>
                </m:e>
                <m:sub>
                  <m:r>
                    <m:rPr>
                      <m:sty m:val="p"/>
                    </m:rPr>
                    <w:rPr>
                      <w:rFonts w:ascii="Cambria Math" w:hAnsi="Cambria Math"/>
                      <w:sz w:val="22"/>
                      <w:szCs w:val="22"/>
                    </w:rPr>
                    <m:t>n</m:t>
                  </m:r>
                </m:sub>
              </m:sSub>
            </m:num>
            <m:den>
              <m:sSub>
                <m:sSubPr>
                  <m:ctrlPr>
                    <w:rPr>
                      <w:rFonts w:ascii="Cambria Math" w:hAnsi="Cambria Math"/>
                      <w:iCs/>
                      <w:sz w:val="22"/>
                      <w:szCs w:val="22"/>
                    </w:rPr>
                  </m:ctrlPr>
                </m:sSubPr>
                <m:e>
                  <m:r>
                    <m:rPr>
                      <m:sty m:val="p"/>
                    </m:rPr>
                    <w:rPr>
                      <w:rFonts w:ascii="Cambria Math" w:hAnsi="Cambria Math"/>
                      <w:color w:val="000000" w:themeColor="text1"/>
                      <w:sz w:val="22"/>
                      <w:szCs w:val="22"/>
                    </w:rPr>
                    <m:t>IM</m:t>
                  </m:r>
                </m:e>
                <m:sub>
                  <m:r>
                    <m:rPr>
                      <m:sty m:val="p"/>
                    </m:rPr>
                    <w:rPr>
                      <w:rFonts w:ascii="Cambria Math" w:hAnsi="Cambria Math"/>
                      <w:sz w:val="22"/>
                      <w:szCs w:val="22"/>
                    </w:rPr>
                    <m:t>0</m:t>
                  </m:r>
                </m:sub>
              </m:sSub>
            </m:den>
          </m:f>
        </m:oMath>
      </m:oMathPara>
    </w:p>
    <w:p w14:paraId="07AE5933" w14:textId="77777777" w:rsidR="00587AD2" w:rsidRPr="00DA2F93" w:rsidRDefault="00EE3D00" w:rsidP="00587AD2">
      <w:pPr>
        <w:pStyle w:val="corpsdetexte0"/>
        <w:rPr>
          <w:rFonts w:ascii="Arial" w:hAnsi="Arial"/>
          <w:sz w:val="22"/>
          <w:szCs w:val="22"/>
        </w:rPr>
      </w:pPr>
      <w:proofErr w:type="gramStart"/>
      <w:r w:rsidRPr="00DA2F93">
        <w:rPr>
          <w:rFonts w:ascii="Arial" w:hAnsi="Arial"/>
          <w:sz w:val="22"/>
          <w:szCs w:val="22"/>
        </w:rPr>
        <w:t>dans</w:t>
      </w:r>
      <w:proofErr w:type="gramEnd"/>
      <w:r w:rsidRPr="00DA2F93">
        <w:rPr>
          <w:rFonts w:ascii="Arial" w:hAnsi="Arial"/>
          <w:sz w:val="22"/>
          <w:szCs w:val="22"/>
        </w:rPr>
        <w:t xml:space="preserve"> laquelle :</w:t>
      </w:r>
    </w:p>
    <w:tbl>
      <w:tblPr>
        <w:tblStyle w:val="Grilledutableau"/>
        <w:tblW w:w="0" w:type="auto"/>
        <w:tblLook w:val="04A0" w:firstRow="1" w:lastRow="0" w:firstColumn="1" w:lastColumn="0" w:noHBand="0" w:noVBand="1"/>
      </w:tblPr>
      <w:tblGrid>
        <w:gridCol w:w="2048"/>
        <w:gridCol w:w="6851"/>
        <w:gridCol w:w="1295"/>
      </w:tblGrid>
      <w:tr w:rsidR="00587AD2" w:rsidRPr="00DA2F93" w14:paraId="3148B0D3" w14:textId="77777777" w:rsidTr="00AB456E">
        <w:tc>
          <w:tcPr>
            <w:tcW w:w="2048" w:type="dxa"/>
          </w:tcPr>
          <w:p w14:paraId="46A0BD56" w14:textId="77777777" w:rsidR="00587AD2" w:rsidRPr="00DA2F93" w:rsidRDefault="00EE3D00" w:rsidP="00AB456E">
            <w:pPr>
              <w:pStyle w:val="corpsdetexte0"/>
              <w:rPr>
                <w:rFonts w:ascii="Arial" w:hAnsi="Arial"/>
                <w:b/>
                <w:sz w:val="22"/>
                <w:szCs w:val="22"/>
              </w:rPr>
            </w:pPr>
            <w:r w:rsidRPr="00DA2F93">
              <w:rPr>
                <w:rFonts w:ascii="Arial" w:hAnsi="Arial"/>
                <w:b/>
                <w:sz w:val="22"/>
                <w:szCs w:val="22"/>
              </w:rPr>
              <w:t>Sigle</w:t>
            </w:r>
          </w:p>
        </w:tc>
        <w:tc>
          <w:tcPr>
            <w:tcW w:w="6851" w:type="dxa"/>
          </w:tcPr>
          <w:p w14:paraId="1F8C74D8" w14:textId="77777777" w:rsidR="00587AD2" w:rsidRPr="00DA2F93" w:rsidRDefault="00EE3D00" w:rsidP="00AB456E">
            <w:pPr>
              <w:pStyle w:val="corpsdetexte0"/>
              <w:rPr>
                <w:rFonts w:ascii="Arial" w:hAnsi="Arial"/>
                <w:b/>
                <w:sz w:val="22"/>
                <w:szCs w:val="22"/>
              </w:rPr>
            </w:pPr>
            <w:r w:rsidRPr="00DA2F93">
              <w:rPr>
                <w:rFonts w:ascii="Arial" w:hAnsi="Arial"/>
                <w:b/>
                <w:sz w:val="22"/>
                <w:szCs w:val="22"/>
              </w:rPr>
              <w:t>Définition</w:t>
            </w:r>
          </w:p>
        </w:tc>
        <w:tc>
          <w:tcPr>
            <w:tcW w:w="1295" w:type="dxa"/>
          </w:tcPr>
          <w:p w14:paraId="6A6B4BD2" w14:textId="77777777" w:rsidR="00587AD2" w:rsidRPr="00DA2F93" w:rsidRDefault="00EE3D00" w:rsidP="00AB456E">
            <w:pPr>
              <w:pStyle w:val="corpsdetexte0"/>
              <w:rPr>
                <w:rFonts w:ascii="Arial" w:hAnsi="Arial"/>
                <w:b/>
                <w:sz w:val="22"/>
                <w:szCs w:val="22"/>
              </w:rPr>
            </w:pPr>
            <w:r w:rsidRPr="00DA2F93">
              <w:rPr>
                <w:rFonts w:ascii="Arial" w:hAnsi="Arial"/>
                <w:b/>
                <w:sz w:val="22"/>
                <w:szCs w:val="22"/>
              </w:rPr>
              <w:t>Valeur</w:t>
            </w:r>
          </w:p>
        </w:tc>
      </w:tr>
      <w:tr w:rsidR="00587AD2" w:rsidRPr="00DA2F93" w14:paraId="4F5AEEB9" w14:textId="77777777" w:rsidTr="00AB456E">
        <w:tc>
          <w:tcPr>
            <w:tcW w:w="2048" w:type="dxa"/>
            <w:vAlign w:val="center"/>
          </w:tcPr>
          <w:p w14:paraId="4CB459F4"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PPG</w:t>
            </w:r>
            <w:r w:rsidRPr="00DA2F93">
              <w:rPr>
                <w:rFonts w:ascii="Arial" w:hAnsi="Arial"/>
                <w:color w:val="000000" w:themeColor="text1"/>
                <w:sz w:val="22"/>
                <w:szCs w:val="22"/>
                <w:vertAlign w:val="subscript"/>
              </w:rPr>
              <w:t>0</w:t>
            </w:r>
          </w:p>
        </w:tc>
        <w:tc>
          <w:tcPr>
            <w:tcW w:w="6851" w:type="dxa"/>
            <w:vAlign w:val="center"/>
          </w:tcPr>
          <w:p w14:paraId="3DEBD489" w14:textId="1A72B0DA" w:rsidR="00587AD2" w:rsidRPr="00DA2F93" w:rsidRDefault="00EE3D00" w:rsidP="003514A6">
            <w:pPr>
              <w:pStyle w:val="corpsdetexte0"/>
              <w:rPr>
                <w:rFonts w:ascii="Arial" w:hAnsi="Arial"/>
                <w:color w:val="000000" w:themeColor="text1"/>
                <w:sz w:val="22"/>
                <w:szCs w:val="22"/>
              </w:rPr>
            </w:pPr>
            <w:r w:rsidRPr="00DA2F93">
              <w:rPr>
                <w:rFonts w:ascii="Arial" w:hAnsi="Arial"/>
                <w:color w:val="000000" w:themeColor="text1"/>
                <w:sz w:val="22"/>
                <w:szCs w:val="22"/>
              </w:rPr>
              <w:t>représente l</w:t>
            </w:r>
            <w:r w:rsidR="003514A6">
              <w:rPr>
                <w:rFonts w:ascii="Arial" w:hAnsi="Arial"/>
                <w:color w:val="000000" w:themeColor="text1"/>
                <w:sz w:val="22"/>
                <w:szCs w:val="22"/>
              </w:rPr>
              <w:t xml:space="preserve">a valeur </w:t>
            </w:r>
            <w:r w:rsidRPr="00DA2F93">
              <w:rPr>
                <w:rFonts w:ascii="Arial" w:hAnsi="Arial"/>
                <w:color w:val="000000" w:themeColor="text1"/>
                <w:sz w:val="22"/>
                <w:szCs w:val="22"/>
              </w:rPr>
              <w:t>initial</w:t>
            </w:r>
            <w:r w:rsidR="003514A6">
              <w:rPr>
                <w:rFonts w:ascii="Arial" w:hAnsi="Arial"/>
                <w:color w:val="000000" w:themeColor="text1"/>
                <w:sz w:val="22"/>
                <w:szCs w:val="22"/>
              </w:rPr>
              <w:t>e</w:t>
            </w:r>
            <w:r w:rsidRPr="00DA2F93">
              <w:rPr>
                <w:rFonts w:ascii="Arial" w:hAnsi="Arial"/>
                <w:color w:val="000000" w:themeColor="text1"/>
                <w:sz w:val="22"/>
                <w:szCs w:val="22"/>
              </w:rPr>
              <w:t xml:space="preserve"> de référence de la prime de puissance garantie définie ci-dessus (valeur Date de référence)</w:t>
            </w:r>
          </w:p>
        </w:tc>
        <w:tc>
          <w:tcPr>
            <w:tcW w:w="1295" w:type="dxa"/>
          </w:tcPr>
          <w:p w14:paraId="1B455F04" w14:textId="77777777" w:rsidR="00587AD2" w:rsidRPr="00DA2F93" w:rsidRDefault="00587AD2" w:rsidP="00AB456E">
            <w:pPr>
              <w:pStyle w:val="corpsdetexte0"/>
              <w:rPr>
                <w:rFonts w:ascii="Arial" w:hAnsi="Arial"/>
                <w:color w:val="000000" w:themeColor="text1"/>
                <w:sz w:val="22"/>
                <w:szCs w:val="22"/>
              </w:rPr>
            </w:pPr>
          </w:p>
        </w:tc>
      </w:tr>
      <w:tr w:rsidR="00587AD2" w:rsidRPr="00DA2F93" w14:paraId="5C1A96A9" w14:textId="77777777" w:rsidTr="00AB456E">
        <w:tc>
          <w:tcPr>
            <w:tcW w:w="2048" w:type="dxa"/>
            <w:vAlign w:val="center"/>
          </w:tcPr>
          <w:p w14:paraId="6E8519FA" w14:textId="77777777" w:rsidR="00587AD2" w:rsidRPr="00DA2F93" w:rsidRDefault="00EE3D00" w:rsidP="00AB456E">
            <w:pPr>
              <w:pStyle w:val="corpsdetexte0"/>
              <w:rPr>
                <w:rFonts w:ascii="Arial" w:hAnsi="Arial"/>
                <w:color w:val="000000" w:themeColor="text1"/>
                <w:sz w:val="22"/>
                <w:szCs w:val="22"/>
              </w:rPr>
            </w:pPr>
            <w:proofErr w:type="spellStart"/>
            <w:r w:rsidRPr="00DA2F93">
              <w:rPr>
                <w:rFonts w:ascii="Arial" w:hAnsi="Arial"/>
                <w:color w:val="000000" w:themeColor="text1"/>
                <w:sz w:val="22"/>
                <w:szCs w:val="22"/>
              </w:rPr>
              <w:t>PPG</w:t>
            </w:r>
            <w:r w:rsidRPr="00DA2F93">
              <w:rPr>
                <w:rFonts w:ascii="Arial" w:hAnsi="Arial"/>
                <w:color w:val="000000" w:themeColor="text1"/>
                <w:sz w:val="22"/>
                <w:szCs w:val="22"/>
                <w:vertAlign w:val="subscript"/>
              </w:rPr>
              <w:t>n</w:t>
            </w:r>
            <w:proofErr w:type="spellEnd"/>
          </w:p>
        </w:tc>
        <w:tc>
          <w:tcPr>
            <w:tcW w:w="6851" w:type="dxa"/>
            <w:vAlign w:val="center"/>
          </w:tcPr>
          <w:p w14:paraId="034285CF"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représente le même montant l’année n</w:t>
            </w:r>
          </w:p>
        </w:tc>
        <w:tc>
          <w:tcPr>
            <w:tcW w:w="1295" w:type="dxa"/>
          </w:tcPr>
          <w:p w14:paraId="2A13FE96" w14:textId="77777777" w:rsidR="00587AD2" w:rsidRPr="00DA2F93" w:rsidRDefault="00587AD2" w:rsidP="00AB456E">
            <w:pPr>
              <w:pStyle w:val="corpsdetexte0"/>
              <w:rPr>
                <w:rFonts w:ascii="Arial" w:hAnsi="Arial"/>
                <w:color w:val="000000" w:themeColor="text1"/>
                <w:sz w:val="22"/>
                <w:szCs w:val="22"/>
              </w:rPr>
            </w:pPr>
          </w:p>
        </w:tc>
      </w:tr>
      <w:tr w:rsidR="00587AD2" w:rsidRPr="00DA2F93" w14:paraId="22FF8D43" w14:textId="77777777" w:rsidTr="00AB456E">
        <w:tc>
          <w:tcPr>
            <w:tcW w:w="2048" w:type="dxa"/>
            <w:vAlign w:val="center"/>
          </w:tcPr>
          <w:p w14:paraId="0312BDE5" w14:textId="77777777" w:rsidR="00587AD2" w:rsidRPr="00DA2F93" w:rsidDel="0035755B"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n</w:t>
            </w:r>
          </w:p>
        </w:tc>
        <w:tc>
          <w:tcPr>
            <w:tcW w:w="6851" w:type="dxa"/>
            <w:vAlign w:val="center"/>
          </w:tcPr>
          <w:p w14:paraId="010BAE45" w14:textId="18D94546" w:rsidR="00587AD2" w:rsidRPr="00DA2F93" w:rsidRDefault="00EE3D00" w:rsidP="00AB456E">
            <w:pPr>
              <w:pStyle w:val="corpsdetexte0"/>
              <w:rPr>
                <w:rFonts w:ascii="Arial" w:hAnsi="Arial"/>
                <w:color w:val="000000" w:themeColor="text1"/>
                <w:sz w:val="22"/>
                <w:szCs w:val="22"/>
              </w:rPr>
            </w:pPr>
            <w:r w:rsidRPr="00DA2F93">
              <w:rPr>
                <w:rFonts w:ascii="Arial" w:hAnsi="Arial"/>
                <w:sz w:val="22"/>
                <w:szCs w:val="22"/>
              </w:rPr>
              <w:t>représente l’année civile (1</w:t>
            </w:r>
            <w:r w:rsidRPr="00DA2F93">
              <w:rPr>
                <w:rFonts w:ascii="Arial" w:hAnsi="Arial"/>
                <w:sz w:val="22"/>
                <w:szCs w:val="22"/>
                <w:vertAlign w:val="superscript"/>
              </w:rPr>
              <w:t>er</w:t>
            </w:r>
            <w:r w:rsidRPr="00DA2F93">
              <w:rPr>
                <w:rFonts w:ascii="Arial" w:hAnsi="Arial"/>
                <w:sz w:val="22"/>
                <w:szCs w:val="22"/>
              </w:rPr>
              <w:t xml:space="preserve"> janvier – 31 décembre) anniversaire depuis l’année de Mise en Service </w:t>
            </w:r>
            <w:r w:rsidR="00F71BC8">
              <w:rPr>
                <w:rFonts w:ascii="Arial" w:hAnsi="Arial"/>
                <w:sz w:val="22"/>
                <w:szCs w:val="22"/>
              </w:rPr>
              <w:t>Industrielle</w:t>
            </w:r>
            <w:r w:rsidRPr="00DA2F93">
              <w:rPr>
                <w:rFonts w:ascii="Arial" w:hAnsi="Arial"/>
                <w:sz w:val="22"/>
                <w:szCs w:val="22"/>
              </w:rPr>
              <w:t xml:space="preserve"> de l’Installation</w:t>
            </w:r>
          </w:p>
        </w:tc>
        <w:tc>
          <w:tcPr>
            <w:tcW w:w="1295" w:type="dxa"/>
          </w:tcPr>
          <w:p w14:paraId="382949C3" w14:textId="77777777" w:rsidR="00587AD2" w:rsidRPr="00DA2F93" w:rsidRDefault="00587AD2" w:rsidP="00AB456E">
            <w:pPr>
              <w:pStyle w:val="corpsdetexte0"/>
              <w:rPr>
                <w:rFonts w:ascii="Arial" w:hAnsi="Arial"/>
                <w:color w:val="000000" w:themeColor="text1"/>
                <w:sz w:val="22"/>
                <w:szCs w:val="22"/>
              </w:rPr>
            </w:pPr>
          </w:p>
        </w:tc>
      </w:tr>
      <w:tr w:rsidR="00587AD2" w:rsidRPr="00DA2F93" w14:paraId="2ACCE9F1" w14:textId="77777777" w:rsidTr="00AB456E">
        <w:tc>
          <w:tcPr>
            <w:tcW w:w="2048" w:type="dxa"/>
            <w:vAlign w:val="center"/>
          </w:tcPr>
          <w:p w14:paraId="40DAF864"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m</w:t>
            </w:r>
          </w:p>
        </w:tc>
        <w:tc>
          <w:tcPr>
            <w:tcW w:w="6851" w:type="dxa"/>
            <w:vAlign w:val="center"/>
          </w:tcPr>
          <w:p w14:paraId="2B77DEE2"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sz w:val="22"/>
                <w:szCs w:val="22"/>
              </w:rPr>
              <w:t>représente le mois m de l’année n</w:t>
            </w:r>
          </w:p>
        </w:tc>
        <w:tc>
          <w:tcPr>
            <w:tcW w:w="1295" w:type="dxa"/>
          </w:tcPr>
          <w:p w14:paraId="30AE53AD" w14:textId="77777777" w:rsidR="00587AD2" w:rsidRPr="00DA2F93" w:rsidRDefault="00587AD2" w:rsidP="00AB456E">
            <w:pPr>
              <w:pStyle w:val="corpsdetexte0"/>
              <w:rPr>
                <w:rFonts w:ascii="Arial" w:hAnsi="Arial"/>
                <w:color w:val="000000" w:themeColor="text1"/>
                <w:sz w:val="22"/>
                <w:szCs w:val="22"/>
              </w:rPr>
            </w:pPr>
          </w:p>
        </w:tc>
      </w:tr>
      <w:tr w:rsidR="00587AD2" w:rsidRPr="00DA2F93" w14:paraId="154DEF5D" w14:textId="77777777" w:rsidTr="00AB456E">
        <w:tc>
          <w:tcPr>
            <w:tcW w:w="2048" w:type="dxa"/>
            <w:vAlign w:val="center"/>
          </w:tcPr>
          <w:p w14:paraId="12379114"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x</w:t>
            </w:r>
          </w:p>
        </w:tc>
        <w:tc>
          <w:tcPr>
            <w:tcW w:w="6851" w:type="dxa"/>
            <w:vAlign w:val="center"/>
          </w:tcPr>
          <w:p w14:paraId="78C56D86" w14:textId="1ABEDF66" w:rsidR="00587AD2" w:rsidRPr="00DA2F93" w:rsidRDefault="00EE3D00" w:rsidP="00AB456E">
            <w:pPr>
              <w:pStyle w:val="corpsdetexte0"/>
              <w:rPr>
                <w:rFonts w:ascii="Arial" w:hAnsi="Arial"/>
                <w:sz w:val="22"/>
                <w:szCs w:val="22"/>
              </w:rPr>
            </w:pPr>
            <w:r w:rsidRPr="00DA2F93">
              <w:rPr>
                <w:rFonts w:ascii="Arial" w:hAnsi="Arial"/>
                <w:sz w:val="22"/>
                <w:szCs w:val="22"/>
              </w:rPr>
              <w:t xml:space="preserve">représente l’année d’amortissement considérée (année calendaire qui commence le mois entier de la date anniversaire de Mise en Service </w:t>
            </w:r>
            <w:r w:rsidR="00F71BC8">
              <w:rPr>
                <w:rFonts w:ascii="Arial" w:hAnsi="Arial"/>
                <w:sz w:val="22"/>
                <w:szCs w:val="22"/>
              </w:rPr>
              <w:t>Industrielle</w:t>
            </w:r>
            <w:r w:rsidRPr="00DA2F93">
              <w:rPr>
                <w:rFonts w:ascii="Arial" w:hAnsi="Arial"/>
                <w:sz w:val="22"/>
                <w:szCs w:val="22"/>
              </w:rPr>
              <w:t xml:space="preserve"> et se termine douze mois plus tard)</w:t>
            </w:r>
          </w:p>
          <w:p w14:paraId="4907B5E6" w14:textId="6B3774DF" w:rsidR="00587AD2" w:rsidRPr="00DA2F93" w:rsidRDefault="00EE3D00" w:rsidP="00AB456E">
            <w:pPr>
              <w:pStyle w:val="corpsdetexte0"/>
              <w:rPr>
                <w:rFonts w:ascii="Arial" w:hAnsi="Arial"/>
                <w:color w:val="000000" w:themeColor="text1"/>
                <w:sz w:val="22"/>
                <w:szCs w:val="22"/>
              </w:rPr>
            </w:pPr>
            <w:r w:rsidRPr="00DA2F93">
              <w:rPr>
                <w:rFonts w:ascii="Arial" w:hAnsi="Arial"/>
                <w:sz w:val="22"/>
                <w:szCs w:val="22"/>
              </w:rPr>
              <w:t xml:space="preserve">Par convention, x = 0 à l’année de Mise en Service </w:t>
            </w:r>
            <w:r w:rsidR="00F71BC8">
              <w:rPr>
                <w:rFonts w:ascii="Arial" w:hAnsi="Arial"/>
                <w:sz w:val="22"/>
                <w:szCs w:val="22"/>
              </w:rPr>
              <w:t>Industrielle</w:t>
            </w:r>
            <w:r w:rsidRPr="00DA2F93">
              <w:rPr>
                <w:rFonts w:ascii="Arial" w:hAnsi="Arial"/>
                <w:sz w:val="22"/>
                <w:szCs w:val="22"/>
              </w:rPr>
              <w:t xml:space="preserve"> de l’Installation</w:t>
            </w:r>
          </w:p>
        </w:tc>
        <w:tc>
          <w:tcPr>
            <w:tcW w:w="1295" w:type="dxa"/>
          </w:tcPr>
          <w:p w14:paraId="47DA1B16" w14:textId="77777777" w:rsidR="00587AD2" w:rsidRPr="00DA2F93" w:rsidRDefault="00587AD2" w:rsidP="00AB456E">
            <w:pPr>
              <w:pStyle w:val="corpsdetexte0"/>
              <w:rPr>
                <w:rFonts w:ascii="Arial" w:hAnsi="Arial"/>
                <w:color w:val="000000" w:themeColor="text1"/>
                <w:sz w:val="22"/>
                <w:szCs w:val="22"/>
              </w:rPr>
            </w:pPr>
          </w:p>
        </w:tc>
      </w:tr>
      <w:tr w:rsidR="00587AD2" w:rsidRPr="00DA2F93" w14:paraId="7BBD79BA" w14:textId="77777777" w:rsidTr="00AB456E">
        <w:tc>
          <w:tcPr>
            <w:tcW w:w="2048" w:type="dxa"/>
            <w:vAlign w:val="center"/>
          </w:tcPr>
          <w:p w14:paraId="69E48A7D"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N</w:t>
            </w:r>
          </w:p>
        </w:tc>
        <w:tc>
          <w:tcPr>
            <w:tcW w:w="6851" w:type="dxa"/>
            <w:vAlign w:val="center"/>
          </w:tcPr>
          <w:p w14:paraId="7FA1D717"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nombre total d’années d’amortissement considérées</w:t>
            </w:r>
          </w:p>
        </w:tc>
        <w:tc>
          <w:tcPr>
            <w:tcW w:w="1295" w:type="dxa"/>
          </w:tcPr>
          <w:p w14:paraId="7EC58CF4" w14:textId="3936D972" w:rsidR="004111AB" w:rsidRPr="00DA2F93" w:rsidRDefault="00272031">
            <w:pPr>
              <w:pStyle w:val="corpsdetexte0"/>
              <w:rPr>
                <w:rFonts w:ascii="Arial" w:hAnsi="Arial"/>
                <w:color w:val="000000" w:themeColor="text1"/>
                <w:sz w:val="22"/>
                <w:szCs w:val="22"/>
              </w:rPr>
            </w:pPr>
            <w:r w:rsidRPr="000243CB">
              <w:rPr>
                <w:rFonts w:ascii="Arial" w:hAnsi="Arial"/>
                <w:color w:val="000000" w:themeColor="text1"/>
                <w:sz w:val="22"/>
                <w:szCs w:val="22"/>
                <w:highlight w:val="lightGray"/>
              </w:rPr>
              <w:t>XX</w:t>
            </w:r>
            <w:r w:rsidR="00EE3D00" w:rsidRPr="00DA2F93">
              <w:rPr>
                <w:rFonts w:ascii="Arial" w:hAnsi="Arial"/>
                <w:color w:val="000000" w:themeColor="text1"/>
                <w:sz w:val="22"/>
                <w:szCs w:val="22"/>
              </w:rPr>
              <w:t xml:space="preserve"> ans</w:t>
            </w:r>
          </w:p>
        </w:tc>
      </w:tr>
      <w:tr w:rsidR="00587AD2" w:rsidRPr="00DA2F93" w14:paraId="0968809B" w14:textId="77777777" w:rsidTr="00AB456E">
        <w:trPr>
          <w:trHeight w:val="255"/>
        </w:trPr>
        <w:tc>
          <w:tcPr>
            <w:tcW w:w="2048" w:type="dxa"/>
            <w:vAlign w:val="center"/>
          </w:tcPr>
          <w:p w14:paraId="2EF3D5F9"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a</w:t>
            </w:r>
          </w:p>
        </w:tc>
        <w:tc>
          <w:tcPr>
            <w:tcW w:w="6851" w:type="dxa"/>
            <w:vAlign w:val="center"/>
          </w:tcPr>
          <w:p w14:paraId="5B647F9B"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Poids de la rémunération de l’investissement initial dans PPG</w:t>
            </w:r>
            <w:r w:rsidRPr="00DA2F93">
              <w:rPr>
                <w:rFonts w:ascii="Arial" w:hAnsi="Arial"/>
                <w:color w:val="000000" w:themeColor="text1"/>
                <w:sz w:val="22"/>
                <w:szCs w:val="22"/>
                <w:vertAlign w:val="subscript"/>
              </w:rPr>
              <w:t>0</w:t>
            </w:r>
          </w:p>
        </w:tc>
        <w:tc>
          <w:tcPr>
            <w:tcW w:w="1295" w:type="dxa"/>
          </w:tcPr>
          <w:p w14:paraId="39804875" w14:textId="77777777" w:rsidR="00587AD2" w:rsidRPr="000243CB" w:rsidRDefault="00273453" w:rsidP="00AB456E">
            <w:pPr>
              <w:pStyle w:val="corpsdetexte0"/>
              <w:rPr>
                <w:rFonts w:ascii="Arial" w:hAnsi="Arial"/>
                <w:color w:val="000000" w:themeColor="text1"/>
                <w:sz w:val="22"/>
                <w:szCs w:val="22"/>
                <w:highlight w:val="lightGray"/>
              </w:rPr>
            </w:pPr>
            <w:r w:rsidRPr="000243CB">
              <w:rPr>
                <w:rFonts w:ascii="Arial" w:hAnsi="Arial"/>
                <w:color w:val="000000" w:themeColor="text1"/>
                <w:sz w:val="22"/>
                <w:szCs w:val="22"/>
                <w:highlight w:val="lightGray"/>
              </w:rPr>
              <w:t>0</w:t>
            </w:r>
            <w:proofErr w:type="gramStart"/>
            <w:r w:rsidRPr="000243CB">
              <w:rPr>
                <w:rFonts w:ascii="Arial" w:hAnsi="Arial"/>
                <w:color w:val="000000" w:themeColor="text1"/>
                <w:sz w:val="22"/>
                <w:szCs w:val="22"/>
                <w:highlight w:val="lightGray"/>
              </w:rPr>
              <w:t>,XXX</w:t>
            </w:r>
            <w:proofErr w:type="gramEnd"/>
          </w:p>
        </w:tc>
      </w:tr>
      <w:tr w:rsidR="00587AD2" w:rsidRPr="00DA2F93" w14:paraId="37A94A93" w14:textId="77777777" w:rsidTr="00AB456E">
        <w:tc>
          <w:tcPr>
            <w:tcW w:w="2048" w:type="dxa"/>
            <w:vAlign w:val="center"/>
          </w:tcPr>
          <w:p w14:paraId="091A7475"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b</w:t>
            </w:r>
          </w:p>
        </w:tc>
        <w:tc>
          <w:tcPr>
            <w:tcW w:w="6851" w:type="dxa"/>
            <w:vAlign w:val="center"/>
          </w:tcPr>
          <w:p w14:paraId="56F25E2E" w14:textId="01EC6597" w:rsidR="00587AD2" w:rsidRPr="00DA2F93" w:rsidRDefault="00EE3D00" w:rsidP="001E069C">
            <w:pPr>
              <w:pStyle w:val="corpsdetexte0"/>
              <w:rPr>
                <w:rFonts w:ascii="Arial" w:hAnsi="Arial"/>
                <w:color w:val="000000" w:themeColor="text1"/>
                <w:sz w:val="22"/>
                <w:szCs w:val="22"/>
              </w:rPr>
            </w:pPr>
            <w:r w:rsidRPr="00DA2F93">
              <w:rPr>
                <w:rFonts w:ascii="Arial" w:hAnsi="Arial"/>
                <w:color w:val="000000" w:themeColor="text1"/>
                <w:sz w:val="22"/>
                <w:szCs w:val="22"/>
              </w:rPr>
              <w:t>Poids de l’amortissement</w:t>
            </w:r>
            <w:r w:rsidR="001E069C">
              <w:rPr>
                <w:rFonts w:ascii="Arial" w:hAnsi="Arial"/>
                <w:color w:val="000000" w:themeColor="text1"/>
                <w:sz w:val="22"/>
                <w:szCs w:val="22"/>
              </w:rPr>
              <w:t>,</w:t>
            </w:r>
            <w:r w:rsidRPr="00DA2F93">
              <w:rPr>
                <w:rFonts w:ascii="Arial" w:hAnsi="Arial"/>
                <w:color w:val="000000" w:themeColor="text1"/>
                <w:sz w:val="22"/>
                <w:szCs w:val="22"/>
              </w:rPr>
              <w:t xml:space="preserve"> du GER</w:t>
            </w:r>
            <w:r w:rsidR="001E069C">
              <w:rPr>
                <w:rFonts w:ascii="Arial" w:hAnsi="Arial"/>
                <w:color w:val="000000" w:themeColor="text1"/>
                <w:sz w:val="22"/>
                <w:szCs w:val="22"/>
              </w:rPr>
              <w:t xml:space="preserve"> et du démantèlement</w:t>
            </w:r>
            <w:r w:rsidRPr="00DA2F93">
              <w:rPr>
                <w:rFonts w:ascii="Arial" w:hAnsi="Arial"/>
                <w:color w:val="000000" w:themeColor="text1"/>
                <w:sz w:val="22"/>
                <w:szCs w:val="22"/>
              </w:rPr>
              <w:t xml:space="preserve"> dans PPG</w:t>
            </w:r>
            <w:r w:rsidRPr="00DA2F93">
              <w:rPr>
                <w:rFonts w:ascii="Arial" w:hAnsi="Arial"/>
                <w:color w:val="000000" w:themeColor="text1"/>
                <w:sz w:val="22"/>
                <w:szCs w:val="22"/>
                <w:vertAlign w:val="subscript"/>
              </w:rPr>
              <w:t>0</w:t>
            </w:r>
          </w:p>
        </w:tc>
        <w:tc>
          <w:tcPr>
            <w:tcW w:w="1295" w:type="dxa"/>
          </w:tcPr>
          <w:p w14:paraId="2B13F4F6" w14:textId="77777777" w:rsidR="00587AD2" w:rsidRPr="000243CB" w:rsidRDefault="00273453" w:rsidP="00AB456E">
            <w:pPr>
              <w:pStyle w:val="corpsdetexte0"/>
              <w:rPr>
                <w:rFonts w:ascii="Arial" w:hAnsi="Arial"/>
                <w:color w:val="000000" w:themeColor="text1"/>
                <w:sz w:val="22"/>
                <w:szCs w:val="22"/>
                <w:highlight w:val="lightGray"/>
              </w:rPr>
            </w:pPr>
            <w:r w:rsidRPr="000243CB">
              <w:rPr>
                <w:rFonts w:ascii="Arial" w:hAnsi="Arial"/>
                <w:color w:val="000000" w:themeColor="text1"/>
                <w:sz w:val="22"/>
                <w:szCs w:val="22"/>
                <w:highlight w:val="lightGray"/>
              </w:rPr>
              <w:t>0</w:t>
            </w:r>
            <w:proofErr w:type="gramStart"/>
            <w:r w:rsidRPr="000243CB">
              <w:rPr>
                <w:rFonts w:ascii="Arial" w:hAnsi="Arial"/>
                <w:color w:val="000000" w:themeColor="text1"/>
                <w:sz w:val="22"/>
                <w:szCs w:val="22"/>
                <w:highlight w:val="lightGray"/>
              </w:rPr>
              <w:t>,XXX</w:t>
            </w:r>
            <w:proofErr w:type="gramEnd"/>
          </w:p>
        </w:tc>
      </w:tr>
      <w:tr w:rsidR="00587AD2" w:rsidRPr="00DA2F93" w14:paraId="6EF233EB" w14:textId="77777777" w:rsidTr="00AB456E">
        <w:tc>
          <w:tcPr>
            <w:tcW w:w="2048" w:type="dxa"/>
            <w:vAlign w:val="center"/>
          </w:tcPr>
          <w:p w14:paraId="749EAEA2"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c</w:t>
            </w:r>
          </w:p>
        </w:tc>
        <w:tc>
          <w:tcPr>
            <w:tcW w:w="6851" w:type="dxa"/>
            <w:vAlign w:val="center"/>
          </w:tcPr>
          <w:p w14:paraId="069E76C4"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Poids des charges fixes d’exploitation hors personnel dans PPG</w:t>
            </w:r>
            <w:r w:rsidRPr="00DA2F93">
              <w:rPr>
                <w:rFonts w:ascii="Arial" w:hAnsi="Arial"/>
                <w:color w:val="000000" w:themeColor="text1"/>
                <w:sz w:val="22"/>
                <w:szCs w:val="22"/>
                <w:vertAlign w:val="subscript"/>
              </w:rPr>
              <w:t>0</w:t>
            </w:r>
          </w:p>
        </w:tc>
        <w:tc>
          <w:tcPr>
            <w:tcW w:w="1295" w:type="dxa"/>
          </w:tcPr>
          <w:p w14:paraId="083EDEB3" w14:textId="77777777" w:rsidR="00587AD2" w:rsidRPr="000243CB" w:rsidRDefault="00273453" w:rsidP="00AB456E">
            <w:pPr>
              <w:pStyle w:val="corpsdetexte0"/>
              <w:rPr>
                <w:rFonts w:ascii="Arial" w:hAnsi="Arial"/>
                <w:color w:val="000000" w:themeColor="text1"/>
                <w:sz w:val="22"/>
                <w:szCs w:val="22"/>
                <w:highlight w:val="lightGray"/>
              </w:rPr>
            </w:pPr>
            <w:r w:rsidRPr="000243CB">
              <w:rPr>
                <w:rFonts w:ascii="Arial" w:hAnsi="Arial"/>
                <w:color w:val="000000" w:themeColor="text1"/>
                <w:sz w:val="22"/>
                <w:szCs w:val="22"/>
                <w:highlight w:val="lightGray"/>
              </w:rPr>
              <w:t>0</w:t>
            </w:r>
            <w:proofErr w:type="gramStart"/>
            <w:r w:rsidRPr="000243CB">
              <w:rPr>
                <w:rFonts w:ascii="Arial" w:hAnsi="Arial"/>
                <w:color w:val="000000" w:themeColor="text1"/>
                <w:sz w:val="22"/>
                <w:szCs w:val="22"/>
                <w:highlight w:val="lightGray"/>
              </w:rPr>
              <w:t>,XXX</w:t>
            </w:r>
            <w:proofErr w:type="gramEnd"/>
          </w:p>
        </w:tc>
      </w:tr>
      <w:tr w:rsidR="00587AD2" w:rsidRPr="00DA2F93" w14:paraId="0B0C3E70" w14:textId="77777777" w:rsidTr="00AB456E">
        <w:tc>
          <w:tcPr>
            <w:tcW w:w="2048" w:type="dxa"/>
            <w:vAlign w:val="center"/>
          </w:tcPr>
          <w:p w14:paraId="5CBEB5BB"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d</w:t>
            </w:r>
          </w:p>
        </w:tc>
        <w:tc>
          <w:tcPr>
            <w:tcW w:w="6851" w:type="dxa"/>
            <w:vAlign w:val="center"/>
          </w:tcPr>
          <w:p w14:paraId="1B4EAE6A"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Poids des charges de personnel dans PPG</w:t>
            </w:r>
            <w:r w:rsidRPr="00DA2F93">
              <w:rPr>
                <w:rFonts w:ascii="Arial" w:hAnsi="Arial"/>
                <w:color w:val="000000" w:themeColor="text1"/>
                <w:sz w:val="22"/>
                <w:szCs w:val="22"/>
                <w:vertAlign w:val="subscript"/>
              </w:rPr>
              <w:t>0</w:t>
            </w:r>
          </w:p>
        </w:tc>
        <w:tc>
          <w:tcPr>
            <w:tcW w:w="1295" w:type="dxa"/>
          </w:tcPr>
          <w:p w14:paraId="3485C611" w14:textId="77777777" w:rsidR="00587AD2" w:rsidRPr="000243CB" w:rsidRDefault="00273453" w:rsidP="00AB456E">
            <w:pPr>
              <w:pStyle w:val="corpsdetexte0"/>
              <w:rPr>
                <w:rFonts w:ascii="Arial" w:hAnsi="Arial"/>
                <w:color w:val="000000" w:themeColor="text1"/>
                <w:sz w:val="22"/>
                <w:szCs w:val="22"/>
                <w:highlight w:val="lightGray"/>
              </w:rPr>
            </w:pPr>
            <w:r w:rsidRPr="000243CB">
              <w:rPr>
                <w:rFonts w:ascii="Arial" w:hAnsi="Arial"/>
                <w:color w:val="000000" w:themeColor="text1"/>
                <w:sz w:val="22"/>
                <w:szCs w:val="22"/>
                <w:highlight w:val="lightGray"/>
              </w:rPr>
              <w:t>0</w:t>
            </w:r>
            <w:proofErr w:type="gramStart"/>
            <w:r w:rsidRPr="000243CB">
              <w:rPr>
                <w:rFonts w:ascii="Arial" w:hAnsi="Arial"/>
                <w:color w:val="000000" w:themeColor="text1"/>
                <w:sz w:val="22"/>
                <w:szCs w:val="22"/>
                <w:highlight w:val="lightGray"/>
              </w:rPr>
              <w:t>,XXX</w:t>
            </w:r>
            <w:proofErr w:type="gramEnd"/>
          </w:p>
        </w:tc>
      </w:tr>
      <w:tr w:rsidR="00587AD2" w:rsidRPr="00DA2F93" w14:paraId="08C31791" w14:textId="77777777" w:rsidTr="00AB456E">
        <w:tc>
          <w:tcPr>
            <w:tcW w:w="2048" w:type="dxa"/>
            <w:vAlign w:val="center"/>
          </w:tcPr>
          <w:p w14:paraId="6FC4145E"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e</w:t>
            </w:r>
          </w:p>
        </w:tc>
        <w:tc>
          <w:tcPr>
            <w:tcW w:w="6851" w:type="dxa"/>
            <w:vAlign w:val="center"/>
          </w:tcPr>
          <w:p w14:paraId="504E5781"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Poids de la rémunération du BFR dans PPG</w:t>
            </w:r>
            <w:r w:rsidRPr="00DA2F93">
              <w:rPr>
                <w:rFonts w:ascii="Arial" w:hAnsi="Arial"/>
                <w:color w:val="000000" w:themeColor="text1"/>
                <w:sz w:val="22"/>
                <w:szCs w:val="22"/>
                <w:vertAlign w:val="subscript"/>
              </w:rPr>
              <w:t>0</w:t>
            </w:r>
          </w:p>
        </w:tc>
        <w:tc>
          <w:tcPr>
            <w:tcW w:w="1295" w:type="dxa"/>
          </w:tcPr>
          <w:p w14:paraId="687FC55B" w14:textId="77777777" w:rsidR="00587AD2" w:rsidRPr="000243CB" w:rsidRDefault="00273453" w:rsidP="00AB456E">
            <w:pPr>
              <w:pStyle w:val="corpsdetexte0"/>
              <w:rPr>
                <w:rFonts w:ascii="Arial" w:hAnsi="Arial"/>
                <w:color w:val="000000" w:themeColor="text1"/>
                <w:sz w:val="22"/>
                <w:szCs w:val="22"/>
                <w:highlight w:val="lightGray"/>
              </w:rPr>
            </w:pPr>
            <w:r w:rsidRPr="000243CB">
              <w:rPr>
                <w:rFonts w:ascii="Arial" w:hAnsi="Arial"/>
                <w:color w:val="000000" w:themeColor="text1"/>
                <w:sz w:val="22"/>
                <w:szCs w:val="22"/>
                <w:highlight w:val="lightGray"/>
              </w:rPr>
              <w:t>0</w:t>
            </w:r>
            <w:proofErr w:type="gramStart"/>
            <w:r w:rsidRPr="000243CB">
              <w:rPr>
                <w:rFonts w:ascii="Arial" w:hAnsi="Arial"/>
                <w:color w:val="000000" w:themeColor="text1"/>
                <w:sz w:val="22"/>
                <w:szCs w:val="22"/>
                <w:highlight w:val="lightGray"/>
              </w:rPr>
              <w:t>,XXX</w:t>
            </w:r>
            <w:proofErr w:type="gramEnd"/>
          </w:p>
        </w:tc>
      </w:tr>
      <w:tr w:rsidR="00587AD2" w:rsidRPr="00DA2F93" w14:paraId="58F6B812" w14:textId="77777777" w:rsidTr="00AB456E">
        <w:tc>
          <w:tcPr>
            <w:tcW w:w="2048" w:type="dxa"/>
            <w:vAlign w:val="center"/>
          </w:tcPr>
          <w:p w14:paraId="3F6BD18B" w14:textId="746F29B6" w:rsidR="00587AD2" w:rsidRPr="00DA2F93" w:rsidRDefault="00280516" w:rsidP="00AB456E">
            <w:pPr>
              <w:pStyle w:val="corpsdetexte0"/>
              <w:rPr>
                <w:rFonts w:ascii="Arial" w:hAnsi="Arial"/>
                <w:color w:val="000000" w:themeColor="text1"/>
                <w:sz w:val="22"/>
                <w:szCs w:val="22"/>
              </w:rPr>
            </w:pPr>
            <w:proofErr w:type="spellStart"/>
            <w:r>
              <w:rPr>
                <w:rFonts w:ascii="Arial" w:hAnsi="Arial"/>
                <w:color w:val="000000" w:themeColor="text1"/>
                <w:sz w:val="22"/>
                <w:szCs w:val="22"/>
              </w:rPr>
              <w:t>IM</w:t>
            </w:r>
            <w:r w:rsidRPr="00DA2F93">
              <w:rPr>
                <w:rFonts w:ascii="Arial" w:hAnsi="Arial"/>
                <w:color w:val="000000" w:themeColor="text1"/>
                <w:sz w:val="22"/>
                <w:szCs w:val="22"/>
                <w:vertAlign w:val="subscript"/>
              </w:rPr>
              <w:t>n</w:t>
            </w:r>
            <w:proofErr w:type="spellEnd"/>
          </w:p>
        </w:tc>
        <w:tc>
          <w:tcPr>
            <w:tcW w:w="6851" w:type="dxa"/>
            <w:vAlign w:val="center"/>
          </w:tcPr>
          <w:p w14:paraId="2652A05B" w14:textId="67A00F25" w:rsidR="00587AD2" w:rsidRPr="00DA2F93" w:rsidRDefault="00EE3D00" w:rsidP="00D53E4D">
            <w:pPr>
              <w:pStyle w:val="corpsdetexte0"/>
              <w:rPr>
                <w:rFonts w:ascii="Arial" w:hAnsi="Arial"/>
                <w:color w:val="000000" w:themeColor="text1"/>
                <w:sz w:val="22"/>
                <w:szCs w:val="22"/>
              </w:rPr>
            </w:pPr>
            <w:r w:rsidRPr="00DA2F93">
              <w:rPr>
                <w:rFonts w:ascii="Arial" w:hAnsi="Arial"/>
                <w:color w:val="000000" w:themeColor="text1"/>
                <w:sz w:val="22"/>
                <w:szCs w:val="22"/>
              </w:rPr>
              <w:t xml:space="preserve">représente la dernière valeur définitive connue de l’indice </w:t>
            </w:r>
            <w:r w:rsidR="00D53E4D">
              <w:rPr>
                <w:rFonts w:ascii="Arial" w:hAnsi="Arial"/>
                <w:color w:val="000000" w:themeColor="text1"/>
                <w:sz w:val="22"/>
                <w:szCs w:val="22"/>
              </w:rPr>
              <w:t>IM</w:t>
            </w:r>
            <w:r w:rsidR="00D53E4D" w:rsidRPr="00DA2F93">
              <w:rPr>
                <w:rFonts w:ascii="Arial" w:hAnsi="Arial"/>
                <w:color w:val="000000" w:themeColor="text1"/>
                <w:sz w:val="22"/>
                <w:szCs w:val="22"/>
              </w:rPr>
              <w:t xml:space="preserve"> </w:t>
            </w:r>
            <w:r w:rsidRPr="00DA2F93">
              <w:rPr>
                <w:rFonts w:ascii="Arial" w:hAnsi="Arial"/>
                <w:color w:val="000000" w:themeColor="text1"/>
                <w:sz w:val="22"/>
                <w:szCs w:val="22"/>
              </w:rPr>
              <w:t>au 1</w:t>
            </w:r>
            <w:r w:rsidRPr="00DA2F93">
              <w:rPr>
                <w:rFonts w:ascii="Arial" w:hAnsi="Arial"/>
                <w:color w:val="000000" w:themeColor="text1"/>
                <w:sz w:val="22"/>
                <w:szCs w:val="22"/>
                <w:vertAlign w:val="superscript"/>
              </w:rPr>
              <w:t>er</w:t>
            </w:r>
            <w:r w:rsidRPr="00DA2F93">
              <w:rPr>
                <w:rFonts w:ascii="Arial" w:hAnsi="Arial"/>
                <w:color w:val="000000" w:themeColor="text1"/>
                <w:sz w:val="22"/>
                <w:szCs w:val="22"/>
              </w:rPr>
              <w:t xml:space="preserve"> janvier de l’année n</w:t>
            </w:r>
          </w:p>
        </w:tc>
        <w:tc>
          <w:tcPr>
            <w:tcW w:w="1295" w:type="dxa"/>
          </w:tcPr>
          <w:p w14:paraId="4ADE9B40" w14:textId="77777777" w:rsidR="00587AD2" w:rsidRPr="00DA2F93" w:rsidRDefault="00587AD2" w:rsidP="00AB456E">
            <w:pPr>
              <w:pStyle w:val="corpsdetexte0"/>
              <w:rPr>
                <w:rFonts w:ascii="Arial" w:hAnsi="Arial"/>
                <w:color w:val="000000" w:themeColor="text1"/>
                <w:sz w:val="22"/>
                <w:szCs w:val="22"/>
              </w:rPr>
            </w:pPr>
          </w:p>
        </w:tc>
      </w:tr>
      <w:tr w:rsidR="00587AD2" w:rsidRPr="00DA2F93" w14:paraId="7A365DFD" w14:textId="77777777" w:rsidTr="00AB456E">
        <w:tc>
          <w:tcPr>
            <w:tcW w:w="2048" w:type="dxa"/>
            <w:vAlign w:val="center"/>
          </w:tcPr>
          <w:p w14:paraId="0C0071DE" w14:textId="6757733C" w:rsidR="00587AD2" w:rsidRPr="00DA2F93" w:rsidRDefault="00280516" w:rsidP="00AB456E">
            <w:pPr>
              <w:pStyle w:val="corpsdetexte0"/>
              <w:rPr>
                <w:rFonts w:ascii="Arial" w:hAnsi="Arial"/>
                <w:color w:val="000000" w:themeColor="text1"/>
                <w:sz w:val="22"/>
                <w:szCs w:val="22"/>
              </w:rPr>
            </w:pPr>
            <w:r>
              <w:rPr>
                <w:rFonts w:ascii="Arial" w:hAnsi="Arial"/>
                <w:color w:val="000000" w:themeColor="text1"/>
                <w:sz w:val="22"/>
                <w:szCs w:val="22"/>
              </w:rPr>
              <w:t>IM</w:t>
            </w:r>
            <w:r w:rsidRPr="00DA2F93">
              <w:rPr>
                <w:rFonts w:ascii="Arial" w:hAnsi="Arial"/>
                <w:color w:val="000000" w:themeColor="text1"/>
                <w:sz w:val="22"/>
                <w:szCs w:val="22"/>
                <w:vertAlign w:val="subscript"/>
              </w:rPr>
              <w:t>0</w:t>
            </w:r>
          </w:p>
        </w:tc>
        <w:tc>
          <w:tcPr>
            <w:tcW w:w="6851" w:type="dxa"/>
            <w:vAlign w:val="center"/>
          </w:tcPr>
          <w:p w14:paraId="081D17A3" w14:textId="20ECC1DB" w:rsidR="00587AD2" w:rsidRPr="00DA2F93" w:rsidRDefault="00EE3D00" w:rsidP="00D53E4D">
            <w:pPr>
              <w:pStyle w:val="corpsdetexte0"/>
              <w:rPr>
                <w:rFonts w:ascii="Arial" w:hAnsi="Arial"/>
                <w:color w:val="000000" w:themeColor="text1"/>
                <w:sz w:val="22"/>
                <w:szCs w:val="22"/>
              </w:rPr>
            </w:pPr>
            <w:r w:rsidRPr="00DA2F93">
              <w:rPr>
                <w:rFonts w:ascii="Arial" w:hAnsi="Arial"/>
                <w:color w:val="000000" w:themeColor="text1"/>
                <w:sz w:val="22"/>
                <w:szCs w:val="22"/>
              </w:rPr>
              <w:t xml:space="preserve">représente la valeur de l’indice </w:t>
            </w:r>
            <w:r w:rsidR="00D53E4D">
              <w:rPr>
                <w:rFonts w:ascii="Arial" w:hAnsi="Arial"/>
                <w:color w:val="000000" w:themeColor="text1"/>
                <w:sz w:val="22"/>
                <w:szCs w:val="22"/>
              </w:rPr>
              <w:t>IM</w:t>
            </w:r>
            <w:r w:rsidR="00D53E4D" w:rsidRPr="00DA2F93">
              <w:rPr>
                <w:rFonts w:ascii="Arial" w:hAnsi="Arial"/>
                <w:color w:val="000000" w:themeColor="text1"/>
                <w:sz w:val="22"/>
                <w:szCs w:val="22"/>
              </w:rPr>
              <w:t xml:space="preserve"> </w:t>
            </w:r>
            <w:r w:rsidRPr="00DA2F93">
              <w:rPr>
                <w:rFonts w:ascii="Arial" w:hAnsi="Arial"/>
                <w:color w:val="000000" w:themeColor="text1"/>
                <w:sz w:val="22"/>
                <w:szCs w:val="22"/>
              </w:rPr>
              <w:t>à la Date de référence</w:t>
            </w:r>
          </w:p>
        </w:tc>
        <w:tc>
          <w:tcPr>
            <w:tcW w:w="1295" w:type="dxa"/>
          </w:tcPr>
          <w:p w14:paraId="5F206E5A" w14:textId="77777777" w:rsidR="00587AD2" w:rsidRPr="00DA2F93" w:rsidRDefault="00273453" w:rsidP="00AB456E">
            <w:pPr>
              <w:pStyle w:val="corpsdetexte0"/>
              <w:rPr>
                <w:rFonts w:ascii="Arial" w:hAnsi="Arial"/>
                <w:color w:val="000000" w:themeColor="text1"/>
                <w:sz w:val="22"/>
                <w:szCs w:val="22"/>
              </w:rPr>
            </w:pPr>
            <w:r w:rsidRPr="000243CB">
              <w:rPr>
                <w:rFonts w:ascii="Arial" w:hAnsi="Arial"/>
                <w:color w:val="000000" w:themeColor="text1"/>
                <w:sz w:val="22"/>
                <w:szCs w:val="22"/>
                <w:highlight w:val="lightGray"/>
              </w:rPr>
              <w:t>XXX</w:t>
            </w:r>
          </w:p>
        </w:tc>
      </w:tr>
      <w:tr w:rsidR="00587AD2" w:rsidRPr="00DA2F93" w14:paraId="63BE5869" w14:textId="77777777" w:rsidTr="00AB456E">
        <w:tc>
          <w:tcPr>
            <w:tcW w:w="2048" w:type="dxa"/>
            <w:vAlign w:val="center"/>
          </w:tcPr>
          <w:p w14:paraId="12C0B750" w14:textId="35D5BF1C" w:rsidR="00587AD2" w:rsidRPr="00DA2F93" w:rsidRDefault="00280516" w:rsidP="00AB456E">
            <w:pPr>
              <w:pStyle w:val="corpsdetexte0"/>
              <w:rPr>
                <w:rFonts w:ascii="Arial" w:hAnsi="Arial"/>
                <w:color w:val="000000" w:themeColor="text1"/>
                <w:sz w:val="22"/>
                <w:szCs w:val="22"/>
              </w:rPr>
            </w:pPr>
            <w:proofErr w:type="spellStart"/>
            <w:r>
              <w:rPr>
                <w:rFonts w:ascii="Arial" w:hAnsi="Arial"/>
                <w:color w:val="000000" w:themeColor="text1"/>
                <w:sz w:val="22"/>
                <w:szCs w:val="22"/>
              </w:rPr>
              <w:t>SAL</w:t>
            </w:r>
            <w:r w:rsidR="00EE3D00" w:rsidRPr="00DA2F93">
              <w:rPr>
                <w:rFonts w:ascii="Arial" w:hAnsi="Arial"/>
                <w:color w:val="000000" w:themeColor="text1"/>
                <w:sz w:val="22"/>
                <w:szCs w:val="22"/>
                <w:vertAlign w:val="subscript"/>
              </w:rPr>
              <w:t>n</w:t>
            </w:r>
            <w:proofErr w:type="spellEnd"/>
          </w:p>
        </w:tc>
        <w:tc>
          <w:tcPr>
            <w:tcW w:w="6851" w:type="dxa"/>
            <w:vAlign w:val="center"/>
          </w:tcPr>
          <w:p w14:paraId="06452A0B" w14:textId="641152C3" w:rsidR="00587AD2" w:rsidRPr="00DA2F93" w:rsidRDefault="00EE3D00" w:rsidP="00D53E4D">
            <w:pPr>
              <w:pStyle w:val="corpsdetexte0"/>
              <w:rPr>
                <w:rFonts w:ascii="Arial" w:hAnsi="Arial"/>
                <w:color w:val="000000" w:themeColor="text1"/>
                <w:sz w:val="22"/>
                <w:szCs w:val="22"/>
              </w:rPr>
            </w:pPr>
            <w:r w:rsidRPr="00DA2F93">
              <w:rPr>
                <w:rFonts w:ascii="Arial" w:hAnsi="Arial"/>
                <w:color w:val="000000" w:themeColor="text1"/>
                <w:sz w:val="22"/>
                <w:szCs w:val="22"/>
              </w:rPr>
              <w:t xml:space="preserve">représente la dernière valeur définitive connue de l’indice </w:t>
            </w:r>
            <w:r w:rsidR="00D53E4D">
              <w:rPr>
                <w:rFonts w:ascii="Arial" w:hAnsi="Arial"/>
                <w:color w:val="000000" w:themeColor="text1"/>
                <w:sz w:val="22"/>
                <w:szCs w:val="22"/>
              </w:rPr>
              <w:t>SAL</w:t>
            </w:r>
            <w:r w:rsidRPr="00DA2F93">
              <w:rPr>
                <w:rFonts w:ascii="Arial" w:hAnsi="Arial"/>
                <w:color w:val="000000" w:themeColor="text1"/>
                <w:sz w:val="22"/>
                <w:szCs w:val="22"/>
              </w:rPr>
              <w:t xml:space="preserve"> au 1</w:t>
            </w:r>
            <w:r w:rsidRPr="00DA2F93">
              <w:rPr>
                <w:rFonts w:ascii="Arial" w:hAnsi="Arial"/>
                <w:color w:val="000000" w:themeColor="text1"/>
                <w:sz w:val="22"/>
                <w:szCs w:val="22"/>
                <w:vertAlign w:val="superscript"/>
              </w:rPr>
              <w:t>er</w:t>
            </w:r>
            <w:r w:rsidRPr="00DA2F93">
              <w:rPr>
                <w:rFonts w:ascii="Arial" w:hAnsi="Arial"/>
                <w:color w:val="000000" w:themeColor="text1"/>
                <w:sz w:val="22"/>
                <w:szCs w:val="22"/>
              </w:rPr>
              <w:t xml:space="preserve"> janvier de l’année n</w:t>
            </w:r>
          </w:p>
        </w:tc>
        <w:tc>
          <w:tcPr>
            <w:tcW w:w="1295" w:type="dxa"/>
          </w:tcPr>
          <w:p w14:paraId="266AA165" w14:textId="77777777" w:rsidR="00587AD2" w:rsidRPr="00DA2F93" w:rsidRDefault="00587AD2" w:rsidP="00AB456E">
            <w:pPr>
              <w:pStyle w:val="corpsdetexte0"/>
              <w:rPr>
                <w:rFonts w:ascii="Arial" w:hAnsi="Arial"/>
                <w:color w:val="000000" w:themeColor="text1"/>
                <w:sz w:val="22"/>
                <w:szCs w:val="22"/>
              </w:rPr>
            </w:pPr>
          </w:p>
        </w:tc>
      </w:tr>
      <w:tr w:rsidR="00587AD2" w:rsidRPr="00DA2F93" w14:paraId="750765A1" w14:textId="77777777" w:rsidTr="00AB456E">
        <w:trPr>
          <w:trHeight w:val="64"/>
        </w:trPr>
        <w:tc>
          <w:tcPr>
            <w:tcW w:w="2048" w:type="dxa"/>
            <w:vAlign w:val="center"/>
          </w:tcPr>
          <w:p w14:paraId="1852A13E" w14:textId="07A0E885" w:rsidR="00587AD2" w:rsidRPr="00DA2F93" w:rsidRDefault="00280516" w:rsidP="00AB456E">
            <w:pPr>
              <w:pStyle w:val="corpsdetexte0"/>
              <w:rPr>
                <w:rFonts w:ascii="Arial" w:hAnsi="Arial"/>
                <w:color w:val="000000" w:themeColor="text1"/>
                <w:sz w:val="22"/>
                <w:szCs w:val="22"/>
              </w:rPr>
            </w:pPr>
            <w:r>
              <w:rPr>
                <w:rFonts w:ascii="Arial" w:hAnsi="Arial"/>
                <w:color w:val="000000" w:themeColor="text1"/>
                <w:sz w:val="22"/>
                <w:szCs w:val="22"/>
              </w:rPr>
              <w:t>SAL</w:t>
            </w:r>
            <w:r w:rsidR="00EE3D00" w:rsidRPr="00DA2F93">
              <w:rPr>
                <w:rFonts w:ascii="Arial" w:hAnsi="Arial"/>
                <w:color w:val="000000" w:themeColor="text1"/>
                <w:sz w:val="22"/>
                <w:szCs w:val="22"/>
                <w:vertAlign w:val="subscript"/>
              </w:rPr>
              <w:t>0</w:t>
            </w:r>
          </w:p>
        </w:tc>
        <w:tc>
          <w:tcPr>
            <w:tcW w:w="6851" w:type="dxa"/>
            <w:vAlign w:val="center"/>
          </w:tcPr>
          <w:p w14:paraId="35008CFC" w14:textId="4304FC73" w:rsidR="00587AD2" w:rsidRPr="00DA2F93" w:rsidRDefault="00EE3D00" w:rsidP="00D53E4D">
            <w:pPr>
              <w:pStyle w:val="corpsdetexte0"/>
              <w:rPr>
                <w:rFonts w:ascii="Arial" w:hAnsi="Arial"/>
                <w:color w:val="000000" w:themeColor="text1"/>
                <w:sz w:val="22"/>
                <w:szCs w:val="22"/>
              </w:rPr>
            </w:pPr>
            <w:r w:rsidRPr="00DA2F93">
              <w:rPr>
                <w:rFonts w:ascii="Arial" w:hAnsi="Arial"/>
                <w:color w:val="000000" w:themeColor="text1"/>
                <w:sz w:val="22"/>
                <w:szCs w:val="22"/>
              </w:rPr>
              <w:t xml:space="preserve">représente la valeur de l’indice </w:t>
            </w:r>
            <w:r w:rsidR="00D53E4D">
              <w:rPr>
                <w:rFonts w:ascii="Arial" w:hAnsi="Arial"/>
                <w:color w:val="000000" w:themeColor="text1"/>
                <w:sz w:val="22"/>
                <w:szCs w:val="22"/>
              </w:rPr>
              <w:t>SAL</w:t>
            </w:r>
            <w:r w:rsidRPr="00DA2F93">
              <w:rPr>
                <w:rFonts w:ascii="Arial" w:hAnsi="Arial"/>
                <w:color w:val="000000" w:themeColor="text1"/>
                <w:sz w:val="22"/>
                <w:szCs w:val="22"/>
              </w:rPr>
              <w:t xml:space="preserve"> à la Date de référence</w:t>
            </w:r>
          </w:p>
        </w:tc>
        <w:tc>
          <w:tcPr>
            <w:tcW w:w="1295" w:type="dxa"/>
          </w:tcPr>
          <w:p w14:paraId="712D61A2" w14:textId="77777777" w:rsidR="00587AD2" w:rsidRPr="00DA2F93" w:rsidRDefault="00273453" w:rsidP="00AB456E">
            <w:pPr>
              <w:pStyle w:val="corpsdetexte0"/>
              <w:rPr>
                <w:rFonts w:ascii="Arial" w:hAnsi="Arial"/>
                <w:color w:val="000000" w:themeColor="text1"/>
                <w:sz w:val="22"/>
                <w:szCs w:val="22"/>
              </w:rPr>
            </w:pPr>
            <w:r w:rsidRPr="000243CB">
              <w:rPr>
                <w:rFonts w:ascii="Arial" w:hAnsi="Arial"/>
                <w:color w:val="000000" w:themeColor="text1"/>
                <w:sz w:val="22"/>
                <w:szCs w:val="22"/>
                <w:highlight w:val="lightGray"/>
              </w:rPr>
              <w:t>XXX</w:t>
            </w:r>
          </w:p>
        </w:tc>
      </w:tr>
      <w:tr w:rsidR="00587AD2" w:rsidRPr="00DA2F93" w14:paraId="78D5EA68" w14:textId="77777777" w:rsidTr="00AB456E">
        <w:trPr>
          <w:trHeight w:val="64"/>
        </w:trPr>
        <w:tc>
          <w:tcPr>
            <w:tcW w:w="2048" w:type="dxa"/>
            <w:vAlign w:val="center"/>
          </w:tcPr>
          <w:p w14:paraId="37D2D357" w14:textId="77777777" w:rsidR="00587AD2" w:rsidRPr="00DA2F93" w:rsidRDefault="00EE3D00" w:rsidP="00AB456E">
            <w:pPr>
              <w:pStyle w:val="corpsdetexte0"/>
              <w:rPr>
                <w:rFonts w:ascii="Arial" w:hAnsi="Arial"/>
                <w:color w:val="000000" w:themeColor="text1"/>
                <w:sz w:val="22"/>
                <w:szCs w:val="22"/>
              </w:rPr>
            </w:pPr>
            <w:proofErr w:type="spellStart"/>
            <w:r w:rsidRPr="00DA2F93">
              <w:rPr>
                <w:rFonts w:ascii="Arial" w:hAnsi="Arial"/>
                <w:color w:val="000000" w:themeColor="text1"/>
                <w:sz w:val="22"/>
                <w:szCs w:val="22"/>
              </w:rPr>
              <w:t>Ind</w:t>
            </w:r>
            <w:r w:rsidRPr="00DA2F93">
              <w:rPr>
                <w:rFonts w:ascii="Arial" w:hAnsi="Arial"/>
                <w:color w:val="000000" w:themeColor="text1"/>
                <w:sz w:val="22"/>
                <w:szCs w:val="22"/>
                <w:vertAlign w:val="subscript"/>
              </w:rPr>
              <w:t>n</w:t>
            </w:r>
            <w:proofErr w:type="spellEnd"/>
          </w:p>
        </w:tc>
        <w:tc>
          <w:tcPr>
            <w:tcW w:w="6851" w:type="dxa"/>
            <w:vAlign w:val="center"/>
          </w:tcPr>
          <w:p w14:paraId="2E028234"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Coefficient d’indexation du BFR à l’année n</w:t>
            </w:r>
          </w:p>
        </w:tc>
        <w:tc>
          <w:tcPr>
            <w:tcW w:w="1295" w:type="dxa"/>
            <w:shd w:val="clear" w:color="auto" w:fill="auto"/>
          </w:tcPr>
          <w:p w14:paraId="3149D750" w14:textId="77777777" w:rsidR="00587AD2" w:rsidRPr="00DA2F93" w:rsidRDefault="00587AD2" w:rsidP="00AB456E">
            <w:pPr>
              <w:pStyle w:val="corpsdetexte0"/>
              <w:rPr>
                <w:rFonts w:ascii="Arial" w:hAnsi="Arial"/>
                <w:color w:val="000000" w:themeColor="text1"/>
                <w:sz w:val="22"/>
                <w:szCs w:val="22"/>
              </w:rPr>
            </w:pPr>
          </w:p>
        </w:tc>
      </w:tr>
      <w:tr w:rsidR="00587AD2" w:rsidRPr="00DA2F93" w14:paraId="796B702B" w14:textId="77777777" w:rsidTr="00AB456E">
        <w:trPr>
          <w:trHeight w:val="64"/>
        </w:trPr>
        <w:tc>
          <w:tcPr>
            <w:tcW w:w="2048" w:type="dxa"/>
            <w:vAlign w:val="center"/>
          </w:tcPr>
          <w:p w14:paraId="418E8986"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Ind</w:t>
            </w:r>
            <w:r w:rsidRPr="00DA2F93">
              <w:rPr>
                <w:rFonts w:ascii="Arial" w:hAnsi="Arial"/>
                <w:color w:val="000000" w:themeColor="text1"/>
                <w:sz w:val="22"/>
                <w:szCs w:val="22"/>
                <w:vertAlign w:val="subscript"/>
              </w:rPr>
              <w:t>0</w:t>
            </w:r>
          </w:p>
        </w:tc>
        <w:tc>
          <w:tcPr>
            <w:tcW w:w="6851" w:type="dxa"/>
            <w:vAlign w:val="center"/>
          </w:tcPr>
          <w:p w14:paraId="143EA955"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Coefficient d’indexation du BFR à la Date de référence</w:t>
            </w:r>
          </w:p>
        </w:tc>
        <w:tc>
          <w:tcPr>
            <w:tcW w:w="1295" w:type="dxa"/>
            <w:shd w:val="clear" w:color="auto" w:fill="auto"/>
          </w:tcPr>
          <w:p w14:paraId="42F2D894" w14:textId="77777777" w:rsidR="00587AD2" w:rsidRPr="00DA2F93" w:rsidRDefault="00EE3D00" w:rsidP="00AB456E">
            <w:pPr>
              <w:pStyle w:val="corpsdetexte0"/>
              <w:rPr>
                <w:rFonts w:ascii="Arial" w:hAnsi="Arial"/>
                <w:color w:val="000000" w:themeColor="text1"/>
                <w:sz w:val="22"/>
                <w:szCs w:val="22"/>
              </w:rPr>
            </w:pPr>
            <w:r w:rsidRPr="00DA2F93">
              <w:rPr>
                <w:rFonts w:ascii="Arial" w:hAnsi="Arial"/>
                <w:color w:val="000000" w:themeColor="text1"/>
                <w:sz w:val="22"/>
                <w:szCs w:val="22"/>
              </w:rPr>
              <w:t>1</w:t>
            </w:r>
          </w:p>
        </w:tc>
      </w:tr>
    </w:tbl>
    <w:p w14:paraId="29BB09A0" w14:textId="77777777" w:rsidR="00587AD2" w:rsidRPr="00DA2F93" w:rsidRDefault="00587AD2" w:rsidP="00587AD2">
      <w:pPr>
        <w:pStyle w:val="corpsdetexte0"/>
        <w:rPr>
          <w:rFonts w:ascii="Arial" w:hAnsi="Arial"/>
          <w:sz w:val="22"/>
          <w:szCs w:val="22"/>
        </w:rPr>
      </w:pPr>
    </w:p>
    <w:p w14:paraId="64A17557" w14:textId="630A8DA4" w:rsidR="00492E5B" w:rsidRPr="00DA2F93" w:rsidRDefault="00492E5B" w:rsidP="00492E5B">
      <w:pPr>
        <w:ind w:right="283"/>
        <w:jc w:val="both"/>
        <w:rPr>
          <w:rFonts w:cs="Arial"/>
          <w:iCs/>
        </w:rPr>
      </w:pPr>
      <w:r w:rsidRPr="00DA2F93">
        <w:rPr>
          <w:rFonts w:cs="Arial"/>
          <w:iCs/>
        </w:rPr>
        <w:t xml:space="preserve">Les valeurs des indices a, b, c, d et e seront ajustées grâce </w:t>
      </w:r>
      <w:r w:rsidR="00855A5D">
        <w:rPr>
          <w:rFonts w:cs="Arial"/>
          <w:iCs/>
        </w:rPr>
        <w:t>à la</w:t>
      </w:r>
      <w:r w:rsidRPr="00DA2F93">
        <w:rPr>
          <w:rFonts w:cs="Arial"/>
          <w:iCs/>
        </w:rPr>
        <w:t xml:space="preserve"> valeur retenu</w:t>
      </w:r>
      <w:r w:rsidR="00855A5D">
        <w:rPr>
          <w:rFonts w:cs="Arial"/>
          <w:iCs/>
        </w:rPr>
        <w:t>e</w:t>
      </w:r>
      <w:r w:rsidRPr="00DA2F93">
        <w:rPr>
          <w:rFonts w:cs="Arial"/>
          <w:iCs/>
        </w:rPr>
        <w:t xml:space="preserve"> </w:t>
      </w:r>
      <w:proofErr w:type="spellStart"/>
      <w:r w:rsidRPr="00DA2F93">
        <w:rPr>
          <w:rFonts w:cs="Arial"/>
          <w:iCs/>
        </w:rPr>
        <w:t>Iret</w:t>
      </w:r>
      <w:proofErr w:type="spellEnd"/>
      <w:r w:rsidRPr="00DA2F93">
        <w:rPr>
          <w:rFonts w:cs="Arial"/>
          <w:iCs/>
        </w:rPr>
        <w:t xml:space="preserve">. Cet ajustement sera intégré à l’avenant mentionné au § </w:t>
      </w:r>
      <w:r w:rsidRPr="00DA2F93">
        <w:fldChar w:fldCharType="begin"/>
      </w:r>
      <w:r w:rsidRPr="00DA2F93">
        <w:instrText xml:space="preserve"> REF _Ref379045286 \r \h  \* MERGEFORMAT </w:instrText>
      </w:r>
      <w:r w:rsidRPr="00DA2F93">
        <w:fldChar w:fldCharType="separate"/>
      </w:r>
      <w:r w:rsidR="0042414D" w:rsidRPr="001E4AE7">
        <w:rPr>
          <w:rFonts w:cs="Arial"/>
          <w:iCs/>
        </w:rPr>
        <w:t>9.1.2</w:t>
      </w:r>
      <w:r w:rsidRPr="00DA2F93">
        <w:fldChar w:fldCharType="end"/>
      </w:r>
      <w:r w:rsidRPr="00DA2F93">
        <w:rPr>
          <w:rFonts w:cs="Arial"/>
          <w:iCs/>
        </w:rPr>
        <w:t>.</w:t>
      </w:r>
    </w:p>
    <w:p w14:paraId="4DC76ACA" w14:textId="77777777" w:rsidR="00492E5B" w:rsidRPr="00DA2F93" w:rsidRDefault="00492E5B" w:rsidP="00492E5B">
      <w:pPr>
        <w:ind w:right="283"/>
        <w:rPr>
          <w:rFonts w:cs="Arial"/>
          <w:iCs/>
        </w:rPr>
      </w:pPr>
      <w:r w:rsidRPr="00DA2F93">
        <w:rPr>
          <w:rFonts w:cs="Arial"/>
          <w:iCs/>
        </w:rPr>
        <w:t>Le montant annuel de PPG correspond à la somme des PPG mensuelles :</w:t>
      </w:r>
    </w:p>
    <w:p w14:paraId="7658B29A" w14:textId="77777777" w:rsidR="00492E5B" w:rsidRDefault="00492E5B" w:rsidP="000243CB">
      <w:pPr>
        <w:jc w:val="center"/>
        <w:rPr>
          <w:rFonts w:cs="Arial"/>
          <w:lang w:val="pt-BR"/>
        </w:rPr>
      </w:pPr>
      <w:r w:rsidRPr="00DA2F93">
        <w:rPr>
          <w:rFonts w:cs="Arial"/>
          <w:position w:val="-32"/>
          <w:lang w:val="pt-BR"/>
        </w:rPr>
        <w:object w:dxaOrig="2180" w:dyaOrig="780" w14:anchorId="28767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7.5pt" o:ole="">
            <v:imagedata r:id="rId10" o:title=""/>
          </v:shape>
          <o:OLEObject Type="Embed" ProgID="Equation.3" ShapeID="_x0000_i1025" DrawAspect="Content" ObjectID="_1721201857" r:id="rId11"/>
        </w:object>
      </w:r>
    </w:p>
    <w:p w14:paraId="0911F199" w14:textId="77777777" w:rsidR="00F51426" w:rsidRDefault="00F51426" w:rsidP="000243CB">
      <w:pPr>
        <w:jc w:val="center"/>
        <w:rPr>
          <w:rFonts w:cs="Arial"/>
          <w:lang w:val="pt-BR"/>
        </w:rPr>
      </w:pPr>
    </w:p>
    <w:p w14:paraId="7A5047DB" w14:textId="77777777" w:rsidR="001F4687" w:rsidRPr="00DA2F93" w:rsidRDefault="001F4687" w:rsidP="000548E3">
      <w:pPr>
        <w:pStyle w:val="EDFTitre3"/>
        <w:widowControl w:val="0"/>
        <w:autoSpaceDE w:val="0"/>
        <w:autoSpaceDN w:val="0"/>
        <w:adjustRightInd w:val="0"/>
        <w:ind w:right="55"/>
        <w:jc w:val="both"/>
      </w:pPr>
      <w:bookmarkStart w:id="132" w:name="_Toc108185076"/>
      <w:bookmarkStart w:id="133" w:name="_Toc388896080"/>
      <w:bookmarkStart w:id="134" w:name="_Toc108113931"/>
      <w:bookmarkStart w:id="135" w:name="_Toc110436460"/>
      <w:bookmarkEnd w:id="132"/>
      <w:r w:rsidRPr="00DA2F93">
        <w:t xml:space="preserve">Modification </w:t>
      </w:r>
      <w:r w:rsidR="00606D6C" w:rsidRPr="00DA2F93">
        <w:t>des indices utilisés</w:t>
      </w:r>
      <w:r w:rsidRPr="00DA2F93">
        <w:t xml:space="preserve"> pour l’indexation de la </w:t>
      </w:r>
      <w:r w:rsidR="00894E31" w:rsidRPr="00DA2F93">
        <w:t>P</w:t>
      </w:r>
      <w:r w:rsidRPr="00DA2F93">
        <w:t xml:space="preserve">rime de </w:t>
      </w:r>
      <w:r w:rsidR="00894E31" w:rsidRPr="00DA2F93">
        <w:t>P</w:t>
      </w:r>
      <w:r w:rsidRPr="00DA2F93">
        <w:t xml:space="preserve">uissance </w:t>
      </w:r>
      <w:r w:rsidR="00894E31" w:rsidRPr="00DA2F93">
        <w:t>G</w:t>
      </w:r>
      <w:r w:rsidRPr="00DA2F93">
        <w:t>arantie</w:t>
      </w:r>
      <w:bookmarkEnd w:id="133"/>
      <w:bookmarkEnd w:id="134"/>
      <w:bookmarkEnd w:id="135"/>
    </w:p>
    <w:p w14:paraId="74E18B3A" w14:textId="77777777" w:rsidR="009378AA" w:rsidRPr="00DA2F93" w:rsidRDefault="009378AA" w:rsidP="000548E3">
      <w:pPr>
        <w:jc w:val="both"/>
        <w:rPr>
          <w:rFonts w:cs="Arial"/>
        </w:rPr>
      </w:pPr>
      <w:r w:rsidRPr="00DA2F93">
        <w:rPr>
          <w:rFonts w:cs="Arial"/>
        </w:rPr>
        <w:t xml:space="preserve">Si un ou plusieurs des indices retenus dans les formules ci-dessus </w:t>
      </w:r>
      <w:proofErr w:type="spellStart"/>
      <w:r w:rsidRPr="00DA2F93">
        <w:rPr>
          <w:rFonts w:cs="Arial"/>
        </w:rPr>
        <w:t>venai</w:t>
      </w:r>
      <w:proofErr w:type="spellEnd"/>
      <w:r w:rsidRPr="00DA2F93">
        <w:rPr>
          <w:rFonts w:cs="Arial"/>
        </w:rPr>
        <w:t xml:space="preserve">(en)t à disparaître ou ne </w:t>
      </w:r>
      <w:proofErr w:type="spellStart"/>
      <w:r w:rsidRPr="00DA2F93">
        <w:rPr>
          <w:rFonts w:cs="Arial"/>
        </w:rPr>
        <w:t>pouvai</w:t>
      </w:r>
      <w:proofErr w:type="spellEnd"/>
      <w:r w:rsidRPr="00DA2F93">
        <w:rPr>
          <w:rFonts w:cs="Arial"/>
        </w:rPr>
        <w:t xml:space="preserve">(en)t plus être calculé(s), celui-ci ou ceux-ci serai(en)t remplacé(s) de plein droit par l’indice ou les indices qui lui/leur serai(en)t substitué(s) légalement. A défaut d’indice de substitution légal, les </w:t>
      </w:r>
      <w:r w:rsidRPr="00DA2F93">
        <w:rPr>
          <w:rFonts w:cs="Arial"/>
        </w:rPr>
        <w:lastRenderedPageBreak/>
        <w:t>Parties se rencontreraient pour choisir d'un commun accord un ou plusieurs nouveau(x) indice(s) le(s) plus proche(s) de l’indice ou des indices devenus inutilisables.</w:t>
      </w:r>
    </w:p>
    <w:p w14:paraId="0BA714DA" w14:textId="77777777" w:rsidR="00913254" w:rsidRPr="00DA2F93" w:rsidRDefault="00913254" w:rsidP="000548E3">
      <w:pPr>
        <w:jc w:val="both"/>
        <w:rPr>
          <w:rFonts w:cs="Arial"/>
        </w:rPr>
      </w:pPr>
      <w:r w:rsidRPr="00DA2F93">
        <w:rPr>
          <w:rFonts w:cs="Arial"/>
        </w:rPr>
        <w:t>Le passage du(es) ancien(s) indice(s) au(x) nouveau(x) s’effectuerait en utilisant le(s) coefficient(s) de raccordement adéquat</w:t>
      </w:r>
      <w:r w:rsidR="00430DFE" w:rsidRPr="00DA2F93">
        <w:rPr>
          <w:rFonts w:cs="Arial"/>
        </w:rPr>
        <w:t>(</w:t>
      </w:r>
      <w:r w:rsidRPr="00DA2F93">
        <w:rPr>
          <w:rFonts w:cs="Arial"/>
        </w:rPr>
        <w:t>s</w:t>
      </w:r>
      <w:r w:rsidR="00430DFE" w:rsidRPr="00DA2F93">
        <w:rPr>
          <w:rFonts w:cs="Arial"/>
        </w:rPr>
        <w:t>)</w:t>
      </w:r>
      <w:r w:rsidRPr="00DA2F93">
        <w:rPr>
          <w:rFonts w:cs="Arial"/>
        </w:rPr>
        <w:t xml:space="preserve">. </w:t>
      </w:r>
    </w:p>
    <w:p w14:paraId="23D7AE83" w14:textId="1718A9FC" w:rsidR="009378AA" w:rsidRPr="00DA2F93" w:rsidRDefault="009378AA" w:rsidP="000548E3">
      <w:pPr>
        <w:jc w:val="both"/>
        <w:rPr>
          <w:rFonts w:cs="Arial"/>
        </w:rPr>
      </w:pPr>
      <w:r w:rsidRPr="00DA2F93">
        <w:t>En cas de changement des indices</w:t>
      </w:r>
      <w:r w:rsidR="008B2C72" w:rsidRPr="00DA2F93">
        <w:t>,</w:t>
      </w:r>
      <w:r w:rsidRPr="00DA2F93">
        <w:t xml:space="preserve"> </w:t>
      </w:r>
      <w:r w:rsidRPr="00DA2F93">
        <w:rPr>
          <w:rFonts w:cs="Arial"/>
        </w:rPr>
        <w:t xml:space="preserve">un avenant au présent </w:t>
      </w:r>
      <w:r w:rsidR="003514A6">
        <w:rPr>
          <w:rFonts w:cs="Arial"/>
        </w:rPr>
        <w:t>C</w:t>
      </w:r>
      <w:r w:rsidR="003514A6" w:rsidRPr="00DA2F93">
        <w:rPr>
          <w:rFonts w:cs="Arial"/>
        </w:rPr>
        <w:t xml:space="preserve">ontrat </w:t>
      </w:r>
      <w:r w:rsidRPr="00DA2F93">
        <w:rPr>
          <w:rFonts w:cs="Arial"/>
        </w:rPr>
        <w:t>sera conclu.</w:t>
      </w:r>
    </w:p>
    <w:p w14:paraId="244E9DBA" w14:textId="77777777" w:rsidR="001F4687" w:rsidRPr="00DA2F93" w:rsidRDefault="001F4687" w:rsidP="000548E3">
      <w:pPr>
        <w:widowControl w:val="0"/>
        <w:tabs>
          <w:tab w:val="left" w:pos="12333"/>
        </w:tabs>
        <w:autoSpaceDE w:val="0"/>
        <w:autoSpaceDN w:val="0"/>
        <w:adjustRightInd w:val="0"/>
        <w:spacing w:before="29"/>
        <w:ind w:right="48"/>
        <w:jc w:val="both"/>
      </w:pPr>
    </w:p>
    <w:p w14:paraId="77059CA4" w14:textId="5455AD55" w:rsidR="001274A3" w:rsidRPr="00DA2F93" w:rsidRDefault="001274A3" w:rsidP="001274A3">
      <w:pPr>
        <w:pStyle w:val="EDFTitre3"/>
        <w:widowControl w:val="0"/>
        <w:autoSpaceDE w:val="0"/>
        <w:autoSpaceDN w:val="0"/>
        <w:adjustRightInd w:val="0"/>
        <w:ind w:right="55"/>
        <w:jc w:val="both"/>
      </w:pPr>
      <w:bookmarkStart w:id="136" w:name="_Toc388896081"/>
      <w:bookmarkStart w:id="137" w:name="_Toc108113932"/>
      <w:bookmarkStart w:id="138" w:name="_Toc110436461"/>
      <w:r w:rsidRPr="00DA2F93">
        <w:t xml:space="preserve">Particularité de la valeur de la </w:t>
      </w:r>
      <w:r w:rsidR="00894E31" w:rsidRPr="00DA2F93">
        <w:t>P</w:t>
      </w:r>
      <w:r w:rsidRPr="00DA2F93">
        <w:t xml:space="preserve">rime de </w:t>
      </w:r>
      <w:r w:rsidR="00894E31" w:rsidRPr="00DA2F93">
        <w:t>P</w:t>
      </w:r>
      <w:r w:rsidRPr="00DA2F93">
        <w:t xml:space="preserve">uissance </w:t>
      </w:r>
      <w:r w:rsidR="00894E31" w:rsidRPr="00DA2F93">
        <w:t>G</w:t>
      </w:r>
      <w:r w:rsidRPr="00DA2F93">
        <w:t xml:space="preserve">arantie le premier </w:t>
      </w:r>
      <w:r w:rsidR="00997B48" w:rsidRPr="00DA2F93">
        <w:t xml:space="preserve">mois de la Mise en Service </w:t>
      </w:r>
      <w:r w:rsidR="00F71BC8">
        <w:t>Industrielle</w:t>
      </w:r>
      <w:r w:rsidR="00997B48" w:rsidRPr="00DA2F93">
        <w:t xml:space="preserve"> </w:t>
      </w:r>
      <w:r w:rsidRPr="00DA2F93">
        <w:t xml:space="preserve">et le dernier mois du </w:t>
      </w:r>
      <w:bookmarkEnd w:id="136"/>
      <w:r w:rsidR="003514A6">
        <w:t>C</w:t>
      </w:r>
      <w:r w:rsidR="003514A6" w:rsidRPr="00DA2F93">
        <w:t>ontrat</w:t>
      </w:r>
      <w:bookmarkEnd w:id="137"/>
      <w:bookmarkEnd w:id="138"/>
      <w:r w:rsidR="003514A6" w:rsidRPr="00DA2F93">
        <w:t xml:space="preserve"> </w:t>
      </w:r>
    </w:p>
    <w:p w14:paraId="2D574900" w14:textId="2A79E358" w:rsidR="001274A3" w:rsidRPr="00DA2F93" w:rsidRDefault="001274A3" w:rsidP="001274A3">
      <w:pPr>
        <w:jc w:val="both"/>
        <w:rPr>
          <w:rFonts w:cs="Arial"/>
        </w:rPr>
      </w:pPr>
      <w:r w:rsidRPr="00DA2F93">
        <w:rPr>
          <w:rFonts w:cs="Arial"/>
        </w:rPr>
        <w:t xml:space="preserve">Pour le premier mois </w:t>
      </w:r>
      <w:r w:rsidR="00FC1666" w:rsidRPr="00DA2F93">
        <w:rPr>
          <w:rFonts w:cs="Arial"/>
        </w:rPr>
        <w:t xml:space="preserve">intégrant la date de Mise en Service </w:t>
      </w:r>
      <w:r w:rsidR="00F71BC8">
        <w:rPr>
          <w:rFonts w:cs="Arial"/>
        </w:rPr>
        <w:t>Industrielle</w:t>
      </w:r>
      <w:r w:rsidR="00FC1666" w:rsidRPr="00DA2F93">
        <w:rPr>
          <w:rFonts w:cs="Arial"/>
        </w:rPr>
        <w:t xml:space="preserve"> de l’Installation</w:t>
      </w:r>
      <w:r w:rsidR="00453646">
        <w:rPr>
          <w:rFonts w:cs="Arial"/>
        </w:rPr>
        <w:t xml:space="preserve"> et pour le dernier mois du contrat</w:t>
      </w:r>
      <w:r w:rsidRPr="00DA2F93">
        <w:rPr>
          <w:rFonts w:cs="Arial"/>
        </w:rPr>
        <w:t xml:space="preserve">, la valeur mensuelle de PPG sera versée au </w:t>
      </w:r>
      <w:r w:rsidR="00554628" w:rsidRPr="00DA2F93">
        <w:rPr>
          <w:rFonts w:cs="Arial"/>
        </w:rPr>
        <w:t>Stockeur</w:t>
      </w:r>
      <w:r w:rsidRPr="00DA2F93">
        <w:rPr>
          <w:rFonts w:cs="Arial"/>
        </w:rPr>
        <w:t xml:space="preserve"> </w:t>
      </w:r>
      <w:r w:rsidR="00453646">
        <w:rPr>
          <w:rFonts w:cs="Arial"/>
        </w:rPr>
        <w:t>au prorata</w:t>
      </w:r>
      <w:r w:rsidR="00453646" w:rsidRPr="00DA2F93">
        <w:rPr>
          <w:rFonts w:cs="Arial"/>
        </w:rPr>
        <w:t xml:space="preserve"> </w:t>
      </w:r>
      <w:r w:rsidR="00453646">
        <w:rPr>
          <w:rFonts w:cs="Arial"/>
        </w:rPr>
        <w:t>du nombre de jours pendant lesquels les Prestations réalisées sur le nombre de jours calendaire</w:t>
      </w:r>
      <w:r w:rsidRPr="00DA2F93">
        <w:rPr>
          <w:rFonts w:cs="Arial"/>
        </w:rPr>
        <w:t>.</w:t>
      </w:r>
    </w:p>
    <w:p w14:paraId="46C5173A" w14:textId="77777777" w:rsidR="009B7268" w:rsidRPr="00DA2F93" w:rsidRDefault="009B7268" w:rsidP="001274A3">
      <w:pPr>
        <w:jc w:val="both"/>
        <w:rPr>
          <w:rFonts w:cs="Arial"/>
        </w:rPr>
      </w:pPr>
    </w:p>
    <w:p w14:paraId="1218F3C6" w14:textId="77777777" w:rsidR="009B7268" w:rsidRPr="00DA2F93" w:rsidRDefault="009B7268" w:rsidP="00657DF1">
      <w:pPr>
        <w:pStyle w:val="EDFTitre3"/>
        <w:widowControl w:val="0"/>
        <w:autoSpaceDE w:val="0"/>
        <w:autoSpaceDN w:val="0"/>
        <w:adjustRightInd w:val="0"/>
        <w:ind w:right="55"/>
        <w:jc w:val="both"/>
      </w:pPr>
      <w:bookmarkStart w:id="139" w:name="_Toc405733599"/>
      <w:bookmarkStart w:id="140" w:name="_Toc406055031"/>
      <w:bookmarkStart w:id="141" w:name="_Toc108113933"/>
      <w:bookmarkStart w:id="142" w:name="_Toc110436462"/>
      <w:r w:rsidRPr="00DA2F93">
        <w:t>Particularités de</w:t>
      </w:r>
      <w:bookmarkEnd w:id="139"/>
      <w:bookmarkEnd w:id="140"/>
      <w:r w:rsidR="00657DF1" w:rsidRPr="00DA2F93">
        <w:t xml:space="preserve">s composantes </w:t>
      </w:r>
      <w:r w:rsidR="000827EC" w:rsidRPr="00DA2F93">
        <w:t>du contrat liés à la Prime de Puissance Garantie</w:t>
      </w:r>
      <w:r w:rsidR="00657DF1" w:rsidRPr="00DA2F93">
        <w:t xml:space="preserve"> la première et la dernière année de fonctionnement de l’Installation</w:t>
      </w:r>
      <w:bookmarkEnd w:id="141"/>
      <w:bookmarkEnd w:id="142"/>
    </w:p>
    <w:p w14:paraId="624CB564" w14:textId="77777777" w:rsidR="009B7268" w:rsidRPr="00DA2F93" w:rsidRDefault="009B7268" w:rsidP="009B7268">
      <w:pPr>
        <w:jc w:val="both"/>
        <w:rPr>
          <w:rFonts w:cs="Arial"/>
        </w:rPr>
      </w:pPr>
      <w:r w:rsidRPr="00DA2F93">
        <w:rPr>
          <w:rFonts w:cs="Arial"/>
        </w:rPr>
        <w:t>Pour les périodes comprises entre :</w:t>
      </w:r>
    </w:p>
    <w:p w14:paraId="33D79B97" w14:textId="03E4734D" w:rsidR="009B7268" w:rsidRPr="00DA2F93" w:rsidRDefault="009B7268" w:rsidP="008544B3">
      <w:pPr>
        <w:pStyle w:val="Paragraphedeliste"/>
        <w:numPr>
          <w:ilvl w:val="0"/>
          <w:numId w:val="6"/>
        </w:numPr>
        <w:jc w:val="both"/>
        <w:rPr>
          <w:rFonts w:cs="Arial"/>
        </w:rPr>
      </w:pPr>
      <w:r w:rsidRPr="00DA2F93">
        <w:rPr>
          <w:rFonts w:cs="Arial"/>
        </w:rPr>
        <w:t xml:space="preserve">la date de Mise en Service </w:t>
      </w:r>
      <w:r w:rsidR="00F71BC8">
        <w:rPr>
          <w:rFonts w:cs="Arial"/>
        </w:rPr>
        <w:t>Industrielle</w:t>
      </w:r>
      <w:r w:rsidRPr="00DA2F93">
        <w:rPr>
          <w:rFonts w:cs="Arial"/>
        </w:rPr>
        <w:t xml:space="preserve"> de l’Installation et le 31 décembre de l’année correspondante ;</w:t>
      </w:r>
    </w:p>
    <w:p w14:paraId="7178B6A9" w14:textId="77777777" w:rsidR="009B7268" w:rsidRPr="00DA2F93" w:rsidRDefault="009B7268" w:rsidP="008544B3">
      <w:pPr>
        <w:pStyle w:val="Paragraphedeliste"/>
        <w:numPr>
          <w:ilvl w:val="0"/>
          <w:numId w:val="6"/>
        </w:numPr>
        <w:jc w:val="both"/>
        <w:rPr>
          <w:rFonts w:cs="Arial"/>
        </w:rPr>
      </w:pPr>
      <w:r w:rsidRPr="00DA2F93">
        <w:rPr>
          <w:rFonts w:cs="Arial"/>
        </w:rPr>
        <w:t>le 1</w:t>
      </w:r>
      <w:r w:rsidRPr="00DA2F93">
        <w:rPr>
          <w:rFonts w:cs="Arial"/>
          <w:vertAlign w:val="superscript"/>
        </w:rPr>
        <w:t>er</w:t>
      </w:r>
      <w:r w:rsidRPr="00DA2F93">
        <w:rPr>
          <w:rFonts w:cs="Arial"/>
        </w:rPr>
        <w:t xml:space="preserve"> janvier de la dernière année de fonctionneme</w:t>
      </w:r>
      <w:r w:rsidR="00464BB7" w:rsidRPr="00DA2F93">
        <w:rPr>
          <w:rFonts w:cs="Arial"/>
        </w:rPr>
        <w:t>nt et la date de fin de contrat,</w:t>
      </w:r>
    </w:p>
    <w:p w14:paraId="3F04642F" w14:textId="3045FADA" w:rsidR="009B7268" w:rsidRPr="00DA2F93" w:rsidRDefault="00E55B3F" w:rsidP="009B7268">
      <w:pPr>
        <w:ind w:left="1"/>
        <w:jc w:val="both"/>
        <w:rPr>
          <w:rFonts w:cs="Arial"/>
        </w:rPr>
      </w:pPr>
      <w:r w:rsidRPr="00DA2F93">
        <w:rPr>
          <w:rFonts w:cs="Arial"/>
        </w:rPr>
        <w:t>L</w:t>
      </w:r>
      <w:r w:rsidR="008D6BC1" w:rsidRPr="00DA2F93">
        <w:rPr>
          <w:rFonts w:cs="Arial"/>
        </w:rPr>
        <w:t>’objectif</w:t>
      </w:r>
      <w:r w:rsidR="009B7268" w:rsidRPr="00DA2F93">
        <w:rPr>
          <w:rFonts w:cs="Arial"/>
        </w:rPr>
        <w:t xml:space="preserve"> de disponibilité (</w:t>
      </w:r>
      <w:r w:rsidR="007B6E0F" w:rsidRPr="00DA2F93">
        <w:rPr>
          <w:rFonts w:cs="Arial"/>
          <w:iCs/>
        </w:rPr>
        <w:t>§</w:t>
      </w:r>
      <w:r w:rsidR="0061434F" w:rsidRPr="00DA2F93">
        <w:t xml:space="preserve"> </w:t>
      </w:r>
      <w:r w:rsidR="00C71C22" w:rsidRPr="00DA2F93">
        <w:fldChar w:fldCharType="begin"/>
      </w:r>
      <w:r w:rsidR="00C71C22" w:rsidRPr="00DA2F93">
        <w:instrText xml:space="preserve"> REF _Ref382475555 \r \h  \* MERGEFORMAT </w:instrText>
      </w:r>
      <w:r w:rsidR="00C71C22" w:rsidRPr="00DA2F93">
        <w:fldChar w:fldCharType="separate"/>
      </w:r>
      <w:r w:rsidR="0042414D">
        <w:t>11</w:t>
      </w:r>
      <w:r w:rsidR="00C71C22" w:rsidRPr="00DA2F93">
        <w:fldChar w:fldCharType="end"/>
      </w:r>
      <w:r w:rsidR="009B7268" w:rsidRPr="00DA2F93">
        <w:rPr>
          <w:rFonts w:cs="Arial"/>
        </w:rPr>
        <w:t xml:space="preserve">) pour le calcul du </w:t>
      </w:r>
      <w:proofErr w:type="spellStart"/>
      <w:r w:rsidR="009B7268" w:rsidRPr="00DA2F93">
        <w:rPr>
          <w:rFonts w:cs="Arial"/>
        </w:rPr>
        <w:t>Bonus Malus</w:t>
      </w:r>
      <w:proofErr w:type="spellEnd"/>
      <w:r w:rsidR="00273453" w:rsidRPr="00DA2F93">
        <w:rPr>
          <w:rFonts w:cs="Arial"/>
        </w:rPr>
        <w:t xml:space="preserve"> est recalculé</w:t>
      </w:r>
      <w:r w:rsidR="009B7268" w:rsidRPr="00DA2F93">
        <w:rPr>
          <w:rFonts w:cs="Arial"/>
        </w:rPr>
        <w:t xml:space="preserve"> prorata </w:t>
      </w:r>
      <w:proofErr w:type="spellStart"/>
      <w:r w:rsidR="009B7268" w:rsidRPr="00DA2F93">
        <w:rPr>
          <w:rFonts w:cs="Arial"/>
        </w:rPr>
        <w:t>temporis</w:t>
      </w:r>
      <w:proofErr w:type="spellEnd"/>
      <w:r w:rsidR="009B7268" w:rsidRPr="00DA2F93">
        <w:rPr>
          <w:rFonts w:cs="Arial"/>
        </w:rPr>
        <w:t xml:space="preserve"> du temps</w:t>
      </w:r>
      <w:r w:rsidR="00273453" w:rsidRPr="00DA2F93">
        <w:rPr>
          <w:rFonts w:cs="Arial"/>
        </w:rPr>
        <w:t xml:space="preserve"> restant à courir dans l’année.</w:t>
      </w:r>
    </w:p>
    <w:p w14:paraId="26844368" w14:textId="77777777" w:rsidR="009B7268" w:rsidRPr="00DA2F93" w:rsidRDefault="009B7268" w:rsidP="009B7268">
      <w:pPr>
        <w:ind w:left="1"/>
        <w:jc w:val="both"/>
        <w:rPr>
          <w:rFonts w:cs="Arial"/>
        </w:rPr>
      </w:pPr>
    </w:p>
    <w:p w14:paraId="3B1AA893" w14:textId="5206EF62" w:rsidR="009B7268" w:rsidRPr="00DA2F93" w:rsidRDefault="009B7268" w:rsidP="009B7268">
      <w:pPr>
        <w:ind w:left="1"/>
        <w:jc w:val="both"/>
        <w:rPr>
          <w:rFonts w:cs="Arial"/>
        </w:rPr>
      </w:pPr>
      <w:r w:rsidRPr="00DA2F93">
        <w:rPr>
          <w:rFonts w:cs="Arial"/>
        </w:rPr>
        <w:t xml:space="preserve">Après </w:t>
      </w:r>
      <w:r w:rsidR="00D41D60" w:rsidRPr="00DA2F93">
        <w:rPr>
          <w:rFonts w:cs="Arial"/>
        </w:rPr>
        <w:t xml:space="preserve">révision </w:t>
      </w:r>
      <w:r w:rsidRPr="00DA2F93">
        <w:rPr>
          <w:rFonts w:cs="Arial"/>
        </w:rPr>
        <w:t xml:space="preserve">définitive de la PPG après la Mise en Service </w:t>
      </w:r>
      <w:r w:rsidR="00F71BC8">
        <w:rPr>
          <w:rFonts w:cs="Arial"/>
        </w:rPr>
        <w:t>Industrielle</w:t>
      </w:r>
      <w:r w:rsidRPr="00DA2F93">
        <w:rPr>
          <w:rFonts w:cs="Arial"/>
        </w:rPr>
        <w:t xml:space="preserve"> de l’Installation par </w:t>
      </w:r>
      <w:r w:rsidR="00D53E4D">
        <w:rPr>
          <w:rFonts w:cs="Arial"/>
        </w:rPr>
        <w:t>le service de la Nouvelle-Calédonie compétent en matière d’énergie</w:t>
      </w:r>
      <w:r w:rsidRPr="00DA2F93">
        <w:rPr>
          <w:rFonts w:cs="Arial"/>
        </w:rPr>
        <w:t xml:space="preserve">, les différents éléments de facturation (PPG, </w:t>
      </w:r>
      <w:proofErr w:type="spellStart"/>
      <w:r w:rsidRPr="00DA2F93">
        <w:rPr>
          <w:rFonts w:cs="Arial"/>
        </w:rPr>
        <w:t>Bonus Malus</w:t>
      </w:r>
      <w:proofErr w:type="spellEnd"/>
      <w:r w:rsidRPr="00DA2F93">
        <w:rPr>
          <w:rFonts w:cs="Arial"/>
        </w:rPr>
        <w:t>, etc</w:t>
      </w:r>
      <w:r w:rsidR="00273453" w:rsidRPr="00DA2F93">
        <w:rPr>
          <w:rFonts w:cs="Arial"/>
        </w:rPr>
        <w:t>.</w:t>
      </w:r>
      <w:r w:rsidRPr="00DA2F93">
        <w:rPr>
          <w:rFonts w:cs="Arial"/>
        </w:rPr>
        <w:t xml:space="preserve">) feront l’objet d’une facture de régularisation selon les modalités </w:t>
      </w:r>
      <w:r w:rsidR="00046DF4" w:rsidRPr="00DA2F93">
        <w:rPr>
          <w:rFonts w:cs="Arial"/>
        </w:rPr>
        <w:t>de facturation</w:t>
      </w:r>
      <w:r w:rsidRPr="00DA2F93">
        <w:rPr>
          <w:rFonts w:cs="Arial"/>
        </w:rPr>
        <w:t xml:space="preserve"> définies</w:t>
      </w:r>
      <w:r w:rsidR="007B6E0F" w:rsidRPr="00DA2F93">
        <w:rPr>
          <w:rFonts w:cs="Arial"/>
        </w:rPr>
        <w:t xml:space="preserve"> au</w:t>
      </w:r>
      <w:r w:rsidRPr="00DA2F93">
        <w:rPr>
          <w:rFonts w:cs="Arial"/>
        </w:rPr>
        <w:t xml:space="preserve"> </w:t>
      </w:r>
      <w:r w:rsidR="007B6E0F" w:rsidRPr="00DA2F93">
        <w:rPr>
          <w:rFonts w:cs="Arial"/>
          <w:iCs/>
        </w:rPr>
        <w:t>§</w:t>
      </w:r>
      <w:r w:rsidR="0061434F" w:rsidRPr="00DA2F93">
        <w:t xml:space="preserve"> </w:t>
      </w:r>
      <w:r w:rsidR="00C71C22" w:rsidRPr="00DA2F93">
        <w:fldChar w:fldCharType="begin"/>
      </w:r>
      <w:r w:rsidR="00C71C22" w:rsidRPr="00DA2F93">
        <w:instrText xml:space="preserve"> REF _Ref408736934 \r \h  \* MERGEFORMAT </w:instrText>
      </w:r>
      <w:r w:rsidR="00C71C22" w:rsidRPr="00DA2F93">
        <w:fldChar w:fldCharType="separate"/>
      </w:r>
      <w:r w:rsidR="0042414D">
        <w:t>16</w:t>
      </w:r>
      <w:r w:rsidR="00C71C22" w:rsidRPr="00DA2F93">
        <w:fldChar w:fldCharType="end"/>
      </w:r>
      <w:r w:rsidRPr="00DA2F93">
        <w:rPr>
          <w:rFonts w:cs="Arial"/>
        </w:rPr>
        <w:t>.</w:t>
      </w:r>
    </w:p>
    <w:p w14:paraId="08C1E74C" w14:textId="77777777" w:rsidR="00587AD2" w:rsidRPr="00DA2F93" w:rsidRDefault="00587AD2" w:rsidP="00587AD2">
      <w:pPr>
        <w:ind w:left="1"/>
        <w:jc w:val="both"/>
        <w:rPr>
          <w:rFonts w:cs="Arial"/>
        </w:rPr>
      </w:pPr>
    </w:p>
    <w:p w14:paraId="11D30490" w14:textId="77777777" w:rsidR="00012868" w:rsidRPr="00DA2F93" w:rsidRDefault="00012868" w:rsidP="00012868">
      <w:pPr>
        <w:pStyle w:val="EDFTitre1"/>
        <w:jc w:val="both"/>
      </w:pPr>
      <w:bookmarkStart w:id="143" w:name="_Toc394668243"/>
      <w:bookmarkStart w:id="144" w:name="_Ref408642650"/>
      <w:bookmarkStart w:id="145" w:name="_Toc108113934"/>
      <w:bookmarkStart w:id="146" w:name="_Toc110436463"/>
      <w:r w:rsidRPr="00DA2F93">
        <w:t>Planning de disponibilité</w:t>
      </w:r>
      <w:bookmarkEnd w:id="143"/>
      <w:bookmarkEnd w:id="144"/>
      <w:bookmarkEnd w:id="145"/>
      <w:bookmarkEnd w:id="146"/>
    </w:p>
    <w:p w14:paraId="5089148A" w14:textId="77777777" w:rsidR="00012868" w:rsidRPr="00DA2F93" w:rsidRDefault="00012868" w:rsidP="000243CB">
      <w:pPr>
        <w:pStyle w:val="EDFTexteCourant"/>
      </w:pPr>
    </w:p>
    <w:p w14:paraId="35E5CCB9" w14:textId="77777777" w:rsidR="00012868" w:rsidRPr="00DA2F93" w:rsidRDefault="00012868" w:rsidP="00012868">
      <w:pPr>
        <w:pStyle w:val="EDFTitre2"/>
        <w:jc w:val="both"/>
      </w:pPr>
      <w:bookmarkStart w:id="147" w:name="_Toc394668244"/>
      <w:bookmarkStart w:id="148" w:name="_Toc108113935"/>
      <w:bookmarkStart w:id="149" w:name="_Toc110436464"/>
      <w:r w:rsidRPr="00DA2F93">
        <w:t>Planning annuel de disponibilité</w:t>
      </w:r>
      <w:bookmarkEnd w:id="147"/>
      <w:bookmarkEnd w:id="148"/>
      <w:bookmarkEnd w:id="149"/>
    </w:p>
    <w:p w14:paraId="4BEB9FD6" w14:textId="2F7913B9" w:rsidR="00012868" w:rsidRPr="00DA2F93" w:rsidRDefault="00012868" w:rsidP="00012868">
      <w:pPr>
        <w:jc w:val="both"/>
        <w:rPr>
          <w:szCs w:val="24"/>
        </w:rPr>
      </w:pPr>
      <w:r w:rsidRPr="00DA2F93">
        <w:rPr>
          <w:szCs w:val="24"/>
        </w:rPr>
        <w:t>L’objectif de disponibilité</w:t>
      </w:r>
      <w:r w:rsidR="00193F56" w:rsidRPr="00DA2F93">
        <w:rPr>
          <w:szCs w:val="24"/>
        </w:rPr>
        <w:t xml:space="preserve"> annuelle</w:t>
      </w:r>
      <w:r w:rsidR="00467934" w:rsidRPr="00DA2F93">
        <w:rPr>
          <w:szCs w:val="24"/>
        </w:rPr>
        <w:t xml:space="preserve"> (ci-</w:t>
      </w:r>
      <w:r w:rsidR="00467E87" w:rsidRPr="00DA2F93">
        <w:rPr>
          <w:szCs w:val="24"/>
        </w:rPr>
        <w:t xml:space="preserve">après «  </w:t>
      </w:r>
      <w:proofErr w:type="spellStart"/>
      <w:r w:rsidR="00467E87" w:rsidRPr="00DA2F93">
        <w:rPr>
          <w:szCs w:val="24"/>
        </w:rPr>
        <w:t>Kd</w:t>
      </w:r>
      <w:proofErr w:type="spellEnd"/>
      <w:r w:rsidR="00467E87" w:rsidRPr="00DA2F93">
        <w:rPr>
          <w:szCs w:val="24"/>
        </w:rPr>
        <w:t> </w:t>
      </w:r>
      <w:r w:rsidR="001B4CFE" w:rsidRPr="00DA2F93">
        <w:rPr>
          <w:szCs w:val="24"/>
        </w:rPr>
        <w:t xml:space="preserve">objectif </w:t>
      </w:r>
      <w:r w:rsidR="00467E87" w:rsidRPr="00DA2F93">
        <w:rPr>
          <w:szCs w:val="24"/>
        </w:rPr>
        <w:t>»)</w:t>
      </w:r>
      <w:r w:rsidR="00DC4B9C" w:rsidRPr="00DA2F93">
        <w:rPr>
          <w:szCs w:val="24"/>
        </w:rPr>
        <w:t xml:space="preserve"> défini au </w:t>
      </w:r>
      <w:r w:rsidR="00DC4B9C" w:rsidRPr="00DA2F93">
        <w:rPr>
          <w:rFonts w:cs="Arial"/>
          <w:iCs/>
        </w:rPr>
        <w:t>§</w:t>
      </w:r>
      <w:r w:rsidRPr="00DA2F93">
        <w:rPr>
          <w:szCs w:val="24"/>
        </w:rPr>
        <w:t xml:space="preserve"> </w:t>
      </w:r>
      <w:r w:rsidR="00C71C22" w:rsidRPr="00DA2F93">
        <w:fldChar w:fldCharType="begin"/>
      </w:r>
      <w:r w:rsidR="00C71C22" w:rsidRPr="00DA2F93">
        <w:instrText xml:space="preserve"> REF _Ref382475555 \r \h  \* MERGEFORMAT </w:instrText>
      </w:r>
      <w:r w:rsidR="00C71C22" w:rsidRPr="00DA2F93">
        <w:fldChar w:fldCharType="separate"/>
      </w:r>
      <w:r w:rsidR="0042414D" w:rsidRPr="001E4AE7">
        <w:rPr>
          <w:szCs w:val="24"/>
        </w:rPr>
        <w:t>11</w:t>
      </w:r>
      <w:r w:rsidR="00C71C22" w:rsidRPr="00DA2F93">
        <w:fldChar w:fldCharType="end"/>
      </w:r>
      <w:r w:rsidRPr="00DA2F93">
        <w:rPr>
          <w:szCs w:val="24"/>
        </w:rPr>
        <w:t xml:space="preserve"> intègre </w:t>
      </w:r>
      <w:r w:rsidR="005A2A22" w:rsidRPr="00DA2F93">
        <w:t>les arrêts annuels pour maintenance et entretien de l’Installation</w:t>
      </w:r>
      <w:r w:rsidRPr="00DA2F93">
        <w:rPr>
          <w:szCs w:val="24"/>
        </w:rPr>
        <w:t>.</w:t>
      </w:r>
    </w:p>
    <w:p w14:paraId="295FAB49" w14:textId="37DD5988" w:rsidR="00CC72B1" w:rsidRPr="00DA2F93" w:rsidRDefault="00CC72B1" w:rsidP="00CC72B1">
      <w:pPr>
        <w:jc w:val="both"/>
        <w:rPr>
          <w:i/>
          <w:iCs/>
          <w:color w:val="000000" w:themeColor="text1"/>
          <w:szCs w:val="24"/>
        </w:rPr>
      </w:pPr>
      <w:r w:rsidRPr="00DA2F93">
        <w:rPr>
          <w:color w:val="000000" w:themeColor="text1"/>
          <w:szCs w:val="24"/>
        </w:rPr>
        <w:t xml:space="preserve">Le Stockeur s’engage à communiquer au plus tôt </w:t>
      </w:r>
      <w:r w:rsidR="00673CB8" w:rsidRPr="00DA2F93">
        <w:rPr>
          <w:color w:val="000000" w:themeColor="text1"/>
          <w:szCs w:val="24"/>
        </w:rPr>
        <w:t xml:space="preserve">au </w:t>
      </w:r>
      <w:r w:rsidR="00B361C0">
        <w:rPr>
          <w:color w:val="000000" w:themeColor="text1"/>
          <w:szCs w:val="24"/>
        </w:rPr>
        <w:t>GRT</w:t>
      </w:r>
      <w:r w:rsidRPr="00DA2F93">
        <w:rPr>
          <w:color w:val="000000" w:themeColor="text1"/>
          <w:szCs w:val="24"/>
        </w:rPr>
        <w:t xml:space="preserve"> les indisponibilités futures dont il a connaissance.</w:t>
      </w:r>
    </w:p>
    <w:p w14:paraId="563AE17D" w14:textId="5236CCBE" w:rsidR="00012868" w:rsidRPr="00DA2F93" w:rsidRDefault="00012868" w:rsidP="004D6F53">
      <w:pPr>
        <w:jc w:val="both"/>
        <w:rPr>
          <w:szCs w:val="24"/>
        </w:rPr>
      </w:pPr>
      <w:r w:rsidRPr="00DA2F93">
        <w:rPr>
          <w:b/>
          <w:szCs w:val="24"/>
        </w:rPr>
        <w:t xml:space="preserve">Au plus tard </w:t>
      </w:r>
      <w:r w:rsidRPr="0040681E">
        <w:rPr>
          <w:b/>
          <w:szCs w:val="24"/>
        </w:rPr>
        <w:t xml:space="preserve">le 15 </w:t>
      </w:r>
      <w:r w:rsidR="004F7D6C">
        <w:rPr>
          <w:b/>
          <w:szCs w:val="24"/>
        </w:rPr>
        <w:t>février</w:t>
      </w:r>
      <w:r w:rsidR="004F7D6C" w:rsidRPr="00DA2F93">
        <w:rPr>
          <w:b/>
          <w:szCs w:val="24"/>
        </w:rPr>
        <w:t xml:space="preserve"> </w:t>
      </w:r>
      <w:r w:rsidRPr="00DA2F93">
        <w:rPr>
          <w:b/>
          <w:szCs w:val="24"/>
        </w:rPr>
        <w:t xml:space="preserve">de chaque année après la date de </w:t>
      </w:r>
      <w:r w:rsidR="00657DF1" w:rsidRPr="00DA2F93">
        <w:rPr>
          <w:b/>
          <w:szCs w:val="24"/>
        </w:rPr>
        <w:t>M</w:t>
      </w:r>
      <w:r w:rsidRPr="00DA2F93">
        <w:rPr>
          <w:b/>
          <w:szCs w:val="24"/>
        </w:rPr>
        <w:t xml:space="preserve">ise en </w:t>
      </w:r>
      <w:r w:rsidR="00657DF1" w:rsidRPr="00DA2F93">
        <w:rPr>
          <w:b/>
          <w:szCs w:val="24"/>
        </w:rPr>
        <w:t>S</w:t>
      </w:r>
      <w:r w:rsidRPr="00DA2F93">
        <w:rPr>
          <w:b/>
          <w:szCs w:val="24"/>
        </w:rPr>
        <w:t xml:space="preserve">ervice </w:t>
      </w:r>
      <w:r w:rsidR="00F71BC8">
        <w:rPr>
          <w:b/>
          <w:szCs w:val="24"/>
        </w:rPr>
        <w:t>Industrielle</w:t>
      </w:r>
      <w:r w:rsidR="00657DF1" w:rsidRPr="00DA2F93">
        <w:rPr>
          <w:b/>
          <w:szCs w:val="24"/>
        </w:rPr>
        <w:t xml:space="preserve"> de l’Installation</w:t>
      </w:r>
      <w:r w:rsidRPr="00DA2F93">
        <w:rPr>
          <w:b/>
          <w:szCs w:val="24"/>
        </w:rPr>
        <w:t xml:space="preserve">, un planning de disponibilité </w:t>
      </w:r>
      <w:r w:rsidR="004F7D6C" w:rsidRPr="0040681E">
        <w:rPr>
          <w:b/>
          <w:szCs w:val="24"/>
        </w:rPr>
        <w:t>sur 3 ans</w:t>
      </w:r>
      <w:r w:rsidR="004F7D6C">
        <w:rPr>
          <w:b/>
          <w:szCs w:val="24"/>
        </w:rPr>
        <w:t xml:space="preserve"> </w:t>
      </w:r>
      <w:r w:rsidRPr="00DA2F93">
        <w:rPr>
          <w:b/>
          <w:szCs w:val="24"/>
        </w:rPr>
        <w:t>est établi en commun entre l</w:t>
      </w:r>
      <w:r w:rsidR="00673CB8" w:rsidRPr="00DA2F93">
        <w:rPr>
          <w:b/>
          <w:szCs w:val="24"/>
        </w:rPr>
        <w:t xml:space="preserve">e </w:t>
      </w:r>
      <w:r w:rsidR="00B361C0">
        <w:rPr>
          <w:b/>
          <w:szCs w:val="24"/>
        </w:rPr>
        <w:t>GRT</w:t>
      </w:r>
      <w:r w:rsidRPr="00DA2F93">
        <w:rPr>
          <w:b/>
          <w:szCs w:val="24"/>
        </w:rPr>
        <w:t xml:space="preserve"> et le </w:t>
      </w:r>
      <w:r w:rsidR="00554628" w:rsidRPr="00DA2F93">
        <w:rPr>
          <w:b/>
          <w:szCs w:val="24"/>
        </w:rPr>
        <w:t>Stockeur</w:t>
      </w:r>
      <w:r w:rsidRPr="00DA2F93">
        <w:rPr>
          <w:b/>
          <w:szCs w:val="24"/>
        </w:rPr>
        <w:t>, sur la base </w:t>
      </w:r>
      <w:r w:rsidR="004D6F53" w:rsidRPr="00DA2F93">
        <w:rPr>
          <w:b/>
          <w:szCs w:val="24"/>
        </w:rPr>
        <w:t>du</w:t>
      </w:r>
      <w:r w:rsidRPr="00DA2F93">
        <w:rPr>
          <w:b/>
          <w:szCs w:val="24"/>
        </w:rPr>
        <w:t xml:space="preserve"> programme de maintenance de l’Installation du </w:t>
      </w:r>
      <w:r w:rsidR="00554628" w:rsidRPr="00DA2F93">
        <w:rPr>
          <w:b/>
          <w:szCs w:val="24"/>
        </w:rPr>
        <w:t>Stockeur</w:t>
      </w:r>
      <w:r w:rsidRPr="00DA2F93">
        <w:rPr>
          <w:b/>
          <w:szCs w:val="24"/>
        </w:rPr>
        <w:t>.</w:t>
      </w:r>
    </w:p>
    <w:p w14:paraId="35214397" w14:textId="77777777" w:rsidR="00012868" w:rsidRPr="00DA2F93" w:rsidRDefault="00012868" w:rsidP="00012868">
      <w:pPr>
        <w:jc w:val="both"/>
        <w:rPr>
          <w:szCs w:val="24"/>
        </w:rPr>
      </w:pPr>
      <w:r w:rsidRPr="00DA2F93">
        <w:rPr>
          <w:szCs w:val="24"/>
        </w:rPr>
        <w:t xml:space="preserve">Le Planning annuel de disponibilité est arrêté d’un commun accord. </w:t>
      </w:r>
    </w:p>
    <w:p w14:paraId="582AC51B" w14:textId="398D1AA8" w:rsidR="004D6F53" w:rsidRPr="00DA2F93" w:rsidRDefault="00012868" w:rsidP="0006121C">
      <w:pPr>
        <w:jc w:val="both"/>
      </w:pPr>
      <w:r w:rsidRPr="00DA2F93">
        <w:t xml:space="preserve">Le </w:t>
      </w:r>
      <w:r w:rsidR="00554628" w:rsidRPr="00DA2F93">
        <w:t>Stockeur</w:t>
      </w:r>
      <w:r w:rsidRPr="00DA2F93">
        <w:t xml:space="preserve"> s'efforcera de planifier, dans la mesure du possible, les arrêts pour maintenance et entretien de l’Installation d’une manière compatible avec les nécessités d’exploitation de l’Installation et aux époques et heures susceptibles de provoquer le moins de gêne pos</w:t>
      </w:r>
      <w:r w:rsidR="004D6F53" w:rsidRPr="00DA2F93">
        <w:t>sible pour le système électrique</w:t>
      </w:r>
      <w:r w:rsidR="00CC72B1" w:rsidRPr="00DA2F93">
        <w:t>, définies par l</w:t>
      </w:r>
      <w:r w:rsidR="00673CB8" w:rsidRPr="00DA2F93">
        <w:t xml:space="preserve">e </w:t>
      </w:r>
      <w:r w:rsidR="00B361C0">
        <w:t>GRT</w:t>
      </w:r>
      <w:r w:rsidR="00CC72B1" w:rsidRPr="00DA2F93">
        <w:t>.</w:t>
      </w:r>
    </w:p>
    <w:p w14:paraId="7BD8810F" w14:textId="6508B34F" w:rsidR="0006121C" w:rsidRPr="00DA2F93" w:rsidRDefault="00012868" w:rsidP="0006121C">
      <w:pPr>
        <w:jc w:val="both"/>
        <w:rPr>
          <w:szCs w:val="24"/>
        </w:rPr>
      </w:pPr>
      <w:r w:rsidRPr="00DA2F93">
        <w:rPr>
          <w:szCs w:val="24"/>
        </w:rPr>
        <w:t xml:space="preserve">Dans le cas où le positionnement d’un arrêt programmé ne trouverait pas d’accord commun entre les Parties, la décision finale appartiendra </w:t>
      </w:r>
      <w:r w:rsidR="00673CB8" w:rsidRPr="00DA2F93">
        <w:rPr>
          <w:szCs w:val="24"/>
        </w:rPr>
        <w:t xml:space="preserve">au </w:t>
      </w:r>
      <w:r w:rsidR="00B361C0">
        <w:rPr>
          <w:szCs w:val="24"/>
        </w:rPr>
        <w:t>GRT</w:t>
      </w:r>
      <w:r w:rsidRPr="00DA2F93">
        <w:rPr>
          <w:szCs w:val="24"/>
        </w:rPr>
        <w:t xml:space="preserve">. </w:t>
      </w:r>
      <w:r w:rsidR="0006121C" w:rsidRPr="00DA2F93">
        <w:rPr>
          <w:szCs w:val="24"/>
        </w:rPr>
        <w:t>L</w:t>
      </w:r>
      <w:r w:rsidR="00673CB8" w:rsidRPr="00DA2F93">
        <w:rPr>
          <w:szCs w:val="24"/>
        </w:rPr>
        <w:t xml:space="preserve">e </w:t>
      </w:r>
      <w:r w:rsidR="00B361C0">
        <w:rPr>
          <w:szCs w:val="24"/>
        </w:rPr>
        <w:t>GRT</w:t>
      </w:r>
      <w:r w:rsidR="0006121C" w:rsidRPr="00DA2F93">
        <w:rPr>
          <w:szCs w:val="24"/>
        </w:rPr>
        <w:t xml:space="preserve"> a l’obligation de proposer au </w:t>
      </w:r>
      <w:r w:rsidR="00554628" w:rsidRPr="00DA2F93">
        <w:rPr>
          <w:szCs w:val="24"/>
        </w:rPr>
        <w:t>Stockeur</w:t>
      </w:r>
      <w:r w:rsidR="0006121C" w:rsidRPr="00DA2F93">
        <w:rPr>
          <w:szCs w:val="24"/>
        </w:rPr>
        <w:t xml:space="preserve"> le positionnement de l’arrêt programmé dans une période temporelle de plus ou moins </w:t>
      </w:r>
      <w:r w:rsidR="00284BB0" w:rsidRPr="00DA2F93">
        <w:rPr>
          <w:szCs w:val="24"/>
        </w:rPr>
        <w:t>6</w:t>
      </w:r>
      <w:r w:rsidR="00FC1666" w:rsidRPr="00DA2F93">
        <w:rPr>
          <w:szCs w:val="24"/>
        </w:rPr>
        <w:t xml:space="preserve">0 </w:t>
      </w:r>
      <w:r w:rsidR="0006121C" w:rsidRPr="00DA2F93">
        <w:rPr>
          <w:szCs w:val="24"/>
        </w:rPr>
        <w:t xml:space="preserve">jours </w:t>
      </w:r>
      <w:r w:rsidR="00B85137" w:rsidRPr="00DA2F93">
        <w:rPr>
          <w:szCs w:val="24"/>
        </w:rPr>
        <w:t xml:space="preserve">calendaires </w:t>
      </w:r>
      <w:r w:rsidR="0006121C" w:rsidRPr="00DA2F93">
        <w:rPr>
          <w:szCs w:val="24"/>
        </w:rPr>
        <w:t xml:space="preserve">par rapport à celle souhaitée par le </w:t>
      </w:r>
      <w:r w:rsidR="00554628" w:rsidRPr="00DA2F93">
        <w:rPr>
          <w:szCs w:val="24"/>
        </w:rPr>
        <w:t>Stockeur</w:t>
      </w:r>
      <w:r w:rsidR="0006121C" w:rsidRPr="00DA2F93">
        <w:rPr>
          <w:szCs w:val="24"/>
        </w:rPr>
        <w:t>.</w:t>
      </w:r>
    </w:p>
    <w:p w14:paraId="0677C217" w14:textId="1239EF77" w:rsidR="00012868" w:rsidRPr="00DA2F93" w:rsidRDefault="00012868" w:rsidP="00012868">
      <w:pPr>
        <w:jc w:val="both"/>
        <w:rPr>
          <w:color w:val="000000" w:themeColor="text1"/>
          <w:szCs w:val="24"/>
        </w:rPr>
      </w:pPr>
      <w:r w:rsidRPr="00DA2F93">
        <w:rPr>
          <w:color w:val="000000" w:themeColor="text1"/>
          <w:szCs w:val="24"/>
        </w:rPr>
        <w:lastRenderedPageBreak/>
        <w:t>En cas de circonstances exceptionnelles, les valeurs des objectifs de disponibilité et indicateurs de performance à appliquer pour l’année concernée peuvent être modifiées par accord spécial des Parties</w:t>
      </w:r>
      <w:r w:rsidR="00C300D6" w:rsidRPr="00DA2F93">
        <w:rPr>
          <w:color w:val="000000" w:themeColor="text1"/>
          <w:szCs w:val="24"/>
        </w:rPr>
        <w:t xml:space="preserve"> après validation d</w:t>
      </w:r>
      <w:r w:rsidR="00D53E4D">
        <w:rPr>
          <w:color w:val="000000" w:themeColor="text1"/>
          <w:szCs w:val="24"/>
        </w:rPr>
        <w:t xml:space="preserve">u </w:t>
      </w:r>
      <w:r w:rsidR="00D53E4D">
        <w:rPr>
          <w:rFonts w:cs="Arial"/>
        </w:rPr>
        <w:t>service de la Nouvelle-Calédonie compétent en matière d’énergie</w:t>
      </w:r>
      <w:r w:rsidRPr="00DA2F93">
        <w:rPr>
          <w:color w:val="000000" w:themeColor="text1"/>
          <w:szCs w:val="24"/>
        </w:rPr>
        <w:t>. Dans ce cas, les valeurs modifiées figurent au Planning annuel de disponibilité de l’année concernée.</w:t>
      </w:r>
    </w:p>
    <w:p w14:paraId="13255068" w14:textId="77777777" w:rsidR="00610546" w:rsidRPr="00DA2F93" w:rsidRDefault="00610546" w:rsidP="00012868">
      <w:pPr>
        <w:jc w:val="both"/>
        <w:rPr>
          <w:szCs w:val="24"/>
        </w:rPr>
      </w:pPr>
    </w:p>
    <w:p w14:paraId="198A58E3" w14:textId="77777777" w:rsidR="00012868" w:rsidRPr="00DA2F93" w:rsidRDefault="00012868" w:rsidP="00012868">
      <w:pPr>
        <w:pStyle w:val="EDFTitre2"/>
        <w:jc w:val="both"/>
      </w:pPr>
      <w:bookmarkStart w:id="150" w:name="_Ref382469776"/>
      <w:bookmarkStart w:id="151" w:name="_Toc394668245"/>
      <w:bookmarkStart w:id="152" w:name="_Toc108113936"/>
      <w:bookmarkStart w:id="153" w:name="_Toc110436465"/>
      <w:r w:rsidRPr="00DA2F93">
        <w:t>Planning hebdomadaire de disponibilité</w:t>
      </w:r>
      <w:bookmarkEnd w:id="150"/>
      <w:bookmarkEnd w:id="151"/>
      <w:bookmarkEnd w:id="152"/>
      <w:bookmarkEnd w:id="153"/>
    </w:p>
    <w:p w14:paraId="6B80AB4B" w14:textId="63D7BAFE" w:rsidR="00012868" w:rsidRPr="00DA2F93" w:rsidRDefault="00012868" w:rsidP="00012868">
      <w:pPr>
        <w:jc w:val="both"/>
        <w:rPr>
          <w:szCs w:val="24"/>
        </w:rPr>
      </w:pPr>
      <w:r w:rsidRPr="00DA2F93">
        <w:rPr>
          <w:szCs w:val="24"/>
        </w:rPr>
        <w:t xml:space="preserve">Chaque semaine, les Parties conviennent d’établir conjointement </w:t>
      </w:r>
      <w:r w:rsidR="00C300D6" w:rsidRPr="0040681E">
        <w:rPr>
          <w:b/>
          <w:szCs w:val="24"/>
        </w:rPr>
        <w:t>au plus tard le jeudi à 14</w:t>
      </w:r>
      <w:r w:rsidRPr="0040681E">
        <w:rPr>
          <w:b/>
          <w:szCs w:val="24"/>
        </w:rPr>
        <w:t xml:space="preserve"> heures</w:t>
      </w:r>
      <w:r w:rsidRPr="0040681E">
        <w:rPr>
          <w:szCs w:val="24"/>
        </w:rPr>
        <w:t xml:space="preserve"> un planning hebdomadaire </w:t>
      </w:r>
      <w:r w:rsidR="00E31D2E" w:rsidRPr="0040681E">
        <w:rPr>
          <w:szCs w:val="24"/>
        </w:rPr>
        <w:t>de disponibilité</w:t>
      </w:r>
      <w:r w:rsidRPr="0040681E">
        <w:rPr>
          <w:szCs w:val="24"/>
        </w:rPr>
        <w:t xml:space="preserve"> démarrant le samedi matin à 0 heure et se terminant le vendredi suivant à 24 heures qui </w:t>
      </w:r>
      <w:r w:rsidRPr="0040681E">
        <w:rPr>
          <w:b/>
          <w:szCs w:val="24"/>
        </w:rPr>
        <w:t xml:space="preserve">détaille heure par heure la </w:t>
      </w:r>
      <w:r w:rsidR="006A30DA" w:rsidRPr="0040681E">
        <w:rPr>
          <w:b/>
          <w:szCs w:val="24"/>
        </w:rPr>
        <w:t>disponibilité</w:t>
      </w:r>
      <w:r w:rsidR="006A30DA">
        <w:rPr>
          <w:b/>
          <w:szCs w:val="24"/>
        </w:rPr>
        <w:t xml:space="preserve"> (cf. </w:t>
      </w:r>
      <w:r w:rsidR="006A30DA" w:rsidRPr="00DA2F93">
        <w:rPr>
          <w:rFonts w:cs="Arial"/>
          <w:iCs/>
        </w:rPr>
        <w:t>§</w:t>
      </w:r>
      <w:r w:rsidR="006A30DA">
        <w:rPr>
          <w:rFonts w:cs="Arial"/>
          <w:iCs/>
        </w:rPr>
        <w:t xml:space="preserve"> </w:t>
      </w:r>
      <w:r w:rsidR="006A30DA">
        <w:rPr>
          <w:rFonts w:cs="Arial"/>
          <w:iCs/>
        </w:rPr>
        <w:fldChar w:fldCharType="begin"/>
      </w:r>
      <w:r w:rsidR="006A30DA">
        <w:rPr>
          <w:rFonts w:cs="Arial"/>
          <w:iCs/>
        </w:rPr>
        <w:instrText xml:space="preserve"> REF _Ref382475555 \r \h </w:instrText>
      </w:r>
      <w:r w:rsidR="006A30DA">
        <w:rPr>
          <w:rFonts w:cs="Arial"/>
          <w:iCs/>
        </w:rPr>
      </w:r>
      <w:r w:rsidR="006A30DA">
        <w:rPr>
          <w:rFonts w:cs="Arial"/>
          <w:iCs/>
        </w:rPr>
        <w:fldChar w:fldCharType="separate"/>
      </w:r>
      <w:r w:rsidR="0042414D">
        <w:rPr>
          <w:rFonts w:cs="Arial"/>
          <w:iCs/>
        </w:rPr>
        <w:t>11</w:t>
      </w:r>
      <w:r w:rsidR="006A30DA">
        <w:rPr>
          <w:rFonts w:cs="Arial"/>
          <w:iCs/>
        </w:rPr>
        <w:fldChar w:fldCharType="end"/>
      </w:r>
      <w:r w:rsidR="006A30DA">
        <w:rPr>
          <w:b/>
          <w:szCs w:val="24"/>
        </w:rPr>
        <w:t>)</w:t>
      </w:r>
      <w:r w:rsidRPr="00DA2F93">
        <w:rPr>
          <w:szCs w:val="24"/>
        </w:rPr>
        <w:t xml:space="preserve"> de l’Installation du </w:t>
      </w:r>
      <w:r w:rsidR="00554628" w:rsidRPr="00DA2F93">
        <w:rPr>
          <w:szCs w:val="24"/>
        </w:rPr>
        <w:t>Stockeur</w:t>
      </w:r>
      <w:r w:rsidRPr="00DA2F93">
        <w:rPr>
          <w:szCs w:val="24"/>
        </w:rPr>
        <w:t>.</w:t>
      </w:r>
      <w:r w:rsidR="00F33E34" w:rsidRPr="00DA2F93">
        <w:rPr>
          <w:szCs w:val="24"/>
        </w:rPr>
        <w:t xml:space="preserve"> </w:t>
      </w:r>
    </w:p>
    <w:p w14:paraId="42384A3E" w14:textId="7CBC96A6" w:rsidR="00012868" w:rsidRPr="00DA2F93" w:rsidRDefault="00C300D6" w:rsidP="00012868">
      <w:pPr>
        <w:jc w:val="both"/>
        <w:rPr>
          <w:szCs w:val="24"/>
        </w:rPr>
      </w:pPr>
      <w:r w:rsidRPr="00DA2F93">
        <w:rPr>
          <w:szCs w:val="24"/>
        </w:rPr>
        <w:t xml:space="preserve">Les modalités d’envoi du planning hebdomadaire sont détaillées dans la </w:t>
      </w:r>
      <w:r w:rsidR="00502B79">
        <w:rPr>
          <w:szCs w:val="24"/>
        </w:rPr>
        <w:t>Convention de Raccordement et d’Exploitation</w:t>
      </w:r>
      <w:r w:rsidRPr="00DA2F93">
        <w:rPr>
          <w:szCs w:val="24"/>
        </w:rPr>
        <w:t>.</w:t>
      </w:r>
    </w:p>
    <w:p w14:paraId="0484F8E1" w14:textId="77777777" w:rsidR="00012868" w:rsidRPr="00DA2F93" w:rsidRDefault="00012868" w:rsidP="00012868">
      <w:pPr>
        <w:jc w:val="both"/>
      </w:pPr>
    </w:p>
    <w:p w14:paraId="7C4C86BB" w14:textId="77777777" w:rsidR="00012868" w:rsidRPr="00DA2F93" w:rsidRDefault="00012868" w:rsidP="00012868">
      <w:pPr>
        <w:pStyle w:val="EDFTitre1"/>
        <w:jc w:val="both"/>
      </w:pPr>
      <w:bookmarkStart w:id="154" w:name="_Ref382475555"/>
      <w:bookmarkStart w:id="155" w:name="_Toc394668247"/>
      <w:bookmarkStart w:id="156" w:name="_Toc108113937"/>
      <w:bookmarkStart w:id="157" w:name="_Toc110436466"/>
      <w:r w:rsidRPr="00DA2F93">
        <w:t>Etablissement de l’objectif de disponibilité</w:t>
      </w:r>
      <w:bookmarkEnd w:id="154"/>
      <w:bookmarkEnd w:id="155"/>
      <w:bookmarkEnd w:id="156"/>
      <w:bookmarkEnd w:id="157"/>
    </w:p>
    <w:p w14:paraId="1ED9C094" w14:textId="6BC1A8F5" w:rsidR="00305860" w:rsidRPr="00DA2F93" w:rsidRDefault="00305860" w:rsidP="00305860">
      <w:pPr>
        <w:shd w:val="clear" w:color="auto" w:fill="FFFFFF" w:themeFill="background1"/>
        <w:jc w:val="both"/>
        <w:rPr>
          <w:szCs w:val="24"/>
        </w:rPr>
      </w:pPr>
      <w:r w:rsidRPr="00DA2F93">
        <w:rPr>
          <w:szCs w:val="24"/>
        </w:rPr>
        <w:t>L</w:t>
      </w:r>
      <w:r w:rsidR="00673CB8" w:rsidRPr="00DA2F93">
        <w:rPr>
          <w:szCs w:val="24"/>
        </w:rPr>
        <w:t xml:space="preserve">e </w:t>
      </w:r>
      <w:r w:rsidR="00B361C0">
        <w:rPr>
          <w:szCs w:val="24"/>
        </w:rPr>
        <w:t>GRT</w:t>
      </w:r>
      <w:r w:rsidRPr="00DA2F93">
        <w:rPr>
          <w:szCs w:val="24"/>
        </w:rPr>
        <w:t xml:space="preserve"> se réserve le droit, sans délai de prévenance, de procéder à des tests aléatoires de disponibilité de l’Installation.</w:t>
      </w:r>
    </w:p>
    <w:p w14:paraId="22BD9EFF" w14:textId="7C9EF3FD" w:rsidR="00012868" w:rsidRPr="00DA2F93" w:rsidRDefault="00012868" w:rsidP="00012868">
      <w:pPr>
        <w:jc w:val="both"/>
        <w:rPr>
          <w:szCs w:val="24"/>
        </w:rPr>
      </w:pPr>
      <w:r w:rsidRPr="00DA2F93">
        <w:rPr>
          <w:szCs w:val="24"/>
        </w:rPr>
        <w:t xml:space="preserve">La Prime de Puissance Garantie est déterminée pour une disponibilité contractuelle </w:t>
      </w:r>
      <w:r w:rsidR="00487A71" w:rsidRPr="00DA2F93">
        <w:rPr>
          <w:szCs w:val="24"/>
        </w:rPr>
        <w:t xml:space="preserve">annuelle objective de </w:t>
      </w:r>
      <w:commentRangeStart w:id="158"/>
      <w:r w:rsidR="00FC7CD2" w:rsidRPr="000243CB">
        <w:rPr>
          <w:b/>
          <w:szCs w:val="24"/>
          <w:highlight w:val="lightGray"/>
        </w:rPr>
        <w:t>XX</w:t>
      </w:r>
      <w:commentRangeEnd w:id="158"/>
      <w:r w:rsidR="00EE2448">
        <w:rPr>
          <w:rStyle w:val="Marquedecommentaire"/>
        </w:rPr>
        <w:commentReference w:id="158"/>
      </w:r>
      <w:r w:rsidR="00487A71" w:rsidRPr="00DA2F93">
        <w:rPr>
          <w:b/>
          <w:szCs w:val="24"/>
        </w:rPr>
        <w:t>%</w:t>
      </w:r>
      <w:r w:rsidRPr="00DA2F93">
        <w:rPr>
          <w:szCs w:val="24"/>
        </w:rPr>
        <w:t>. Elle est payée au prorata de la disponibilité effective</w:t>
      </w:r>
      <w:r w:rsidR="00DA19AB" w:rsidRPr="00DA2F93">
        <w:rPr>
          <w:szCs w:val="24"/>
        </w:rPr>
        <w:t xml:space="preserve"> dont le mode de calcul est précisé ci-aprè</w:t>
      </w:r>
      <w:r w:rsidR="00B84289">
        <w:rPr>
          <w:szCs w:val="24"/>
        </w:rPr>
        <w:t>s.</w:t>
      </w:r>
    </w:p>
    <w:p w14:paraId="5F895D13" w14:textId="77777777" w:rsidR="00815834" w:rsidRPr="00DA2F93" w:rsidRDefault="00615F3D" w:rsidP="00012868">
      <w:pPr>
        <w:shd w:val="clear" w:color="auto" w:fill="FFFFFF" w:themeFill="background1"/>
        <w:jc w:val="both"/>
        <w:rPr>
          <w:szCs w:val="24"/>
        </w:rPr>
      </w:pPr>
      <w:r w:rsidRPr="00DA2F93">
        <w:rPr>
          <w:szCs w:val="24"/>
        </w:rPr>
        <w:t>La disponibilité effective</w:t>
      </w:r>
      <w:r w:rsidR="00012868" w:rsidRPr="00DA2F93">
        <w:rPr>
          <w:szCs w:val="24"/>
        </w:rPr>
        <w:t xml:space="preserve"> est égal</w:t>
      </w:r>
      <w:r w:rsidRPr="00DA2F93">
        <w:rPr>
          <w:szCs w:val="24"/>
        </w:rPr>
        <w:t>e</w:t>
      </w:r>
      <w:r w:rsidR="00012868" w:rsidRPr="00DA2F93">
        <w:rPr>
          <w:szCs w:val="24"/>
        </w:rPr>
        <w:t xml:space="preserve"> </w:t>
      </w:r>
      <w:r w:rsidR="00815834" w:rsidRPr="00DA2F93">
        <w:rPr>
          <w:szCs w:val="24"/>
        </w:rPr>
        <w:t>à :</w:t>
      </w:r>
    </w:p>
    <w:p w14:paraId="33C483D6" w14:textId="05FA45B6" w:rsidR="00FB5312" w:rsidRPr="00DA2F93" w:rsidRDefault="00FB5312" w:rsidP="00FB5312">
      <w:pPr>
        <w:jc w:val="both"/>
        <w:rPr>
          <w:sz w:val="20"/>
          <w:szCs w:val="20"/>
        </w:rPr>
      </w:pPr>
      <m:oMathPara>
        <m:oMath>
          <m:r>
            <m:rPr>
              <m:sty m:val="b"/>
            </m:rPr>
            <w:rPr>
              <w:rFonts w:ascii="Cambria Math" w:hAnsi="Cambria Math"/>
              <w:sz w:val="20"/>
              <w:szCs w:val="20"/>
            </w:rPr>
            <m:t>100 ×(1-</m:t>
          </m:r>
          <m:f>
            <m:fPr>
              <m:ctrlPr>
                <w:rPr>
                  <w:rFonts w:ascii="Cambria Math" w:hAnsi="Cambria Math"/>
                  <w:b/>
                  <w:sz w:val="20"/>
                  <w:szCs w:val="20"/>
                </w:rPr>
              </m:ctrlPr>
            </m:fPr>
            <m:num>
              <w:bookmarkStart w:id="159" w:name="_Hlk108176514"/>
              <m:r>
                <m:rPr>
                  <m:sty m:val="b"/>
                </m:rPr>
                <w:rPr>
                  <w:rFonts w:ascii="Cambria Math" w:hAnsi="Cambria Math"/>
                  <w:sz w:val="20"/>
                  <w:szCs w:val="20"/>
                </w:rPr>
                <m:t xml:space="preserve">Nombre </m:t>
              </m:r>
              <m:sSup>
                <m:sSupPr>
                  <m:ctrlPr>
                    <w:rPr>
                      <w:rFonts w:ascii="Cambria Math" w:hAnsi="Cambria Math"/>
                      <w:b/>
                      <w:sz w:val="20"/>
                      <w:szCs w:val="20"/>
                    </w:rPr>
                  </m:ctrlPr>
                </m:sSupPr>
                <m:e>
                  <m:r>
                    <m:rPr>
                      <m:sty m:val="b"/>
                    </m:rPr>
                    <w:rPr>
                      <w:rFonts w:ascii="Cambria Math" w:hAnsi="Cambria Math"/>
                      <w:sz w:val="20"/>
                      <w:szCs w:val="20"/>
                    </w:rPr>
                    <m:t>d</m:t>
                  </m:r>
                </m:e>
                <m:sup>
                  <m:r>
                    <m:rPr>
                      <m:sty m:val="b"/>
                    </m:rPr>
                    <w:rPr>
                      <w:rFonts w:ascii="Cambria Math" w:hAnsi="Cambria Math"/>
                      <w:sz w:val="20"/>
                      <w:szCs w:val="20"/>
                    </w:rPr>
                    <m:t>'</m:t>
                  </m:r>
                </m:sup>
              </m:sSup>
              <m:r>
                <m:rPr>
                  <m:sty m:val="b"/>
                </m:rPr>
                <w:rPr>
                  <w:rFonts w:ascii="Cambria Math" w:hAnsi="Cambria Math"/>
                  <w:sz w:val="20"/>
                  <w:szCs w:val="20"/>
                </w:rPr>
                <m:t xml:space="preserve">heures durant lesquelles </m:t>
              </m:r>
              <m:sSup>
                <m:sSupPr>
                  <m:ctrlPr>
                    <w:rPr>
                      <w:rFonts w:ascii="Cambria Math" w:hAnsi="Cambria Math"/>
                      <w:b/>
                      <w:sz w:val="20"/>
                      <w:szCs w:val="20"/>
                    </w:rPr>
                  </m:ctrlPr>
                </m:sSupPr>
                <m:e>
                  <m:r>
                    <m:rPr>
                      <m:sty m:val="b"/>
                    </m:rPr>
                    <w:rPr>
                      <w:rFonts w:ascii="Cambria Math" w:hAnsi="Cambria Math"/>
                      <w:sz w:val="20"/>
                      <w:szCs w:val="20"/>
                    </w:rPr>
                    <m:t>l</m:t>
                  </m:r>
                </m:e>
                <m:sup>
                  <m:r>
                    <m:rPr>
                      <m:sty m:val="b"/>
                    </m:rPr>
                    <w:rPr>
                      <w:rFonts w:ascii="Cambria Math" w:hAnsi="Cambria Math"/>
                      <w:sz w:val="20"/>
                      <w:szCs w:val="20"/>
                    </w:rPr>
                    <m:t>'</m:t>
                  </m:r>
                </m:sup>
              </m:sSup>
              <m:r>
                <m:rPr>
                  <m:sty m:val="b"/>
                </m:rPr>
                <w:rPr>
                  <w:rFonts w:ascii="Cambria Math" w:hAnsi="Cambria Math"/>
                  <w:sz w:val="20"/>
                  <w:szCs w:val="20"/>
                </w:rPr>
                <m:t>Installation est indisponible dans l'année</m:t>
              </m:r>
              <w:bookmarkEnd w:id="159"/>
            </m:num>
            <m:den>
              <m:r>
                <m:rPr>
                  <m:sty m:val="b"/>
                </m:rPr>
                <w:rPr>
                  <w:rFonts w:ascii="Cambria Math" w:hAnsi="Cambria Math"/>
                  <w:sz w:val="20"/>
                  <w:szCs w:val="20"/>
                </w:rPr>
                <m:t xml:space="preserve">Nombre </m:t>
              </m:r>
              <m:sSup>
                <m:sSupPr>
                  <m:ctrlPr>
                    <w:rPr>
                      <w:rFonts w:ascii="Cambria Math" w:hAnsi="Cambria Math"/>
                      <w:b/>
                      <w:sz w:val="20"/>
                      <w:szCs w:val="20"/>
                    </w:rPr>
                  </m:ctrlPr>
                </m:sSupPr>
                <m:e>
                  <m:r>
                    <m:rPr>
                      <m:sty m:val="b"/>
                    </m:rPr>
                    <w:rPr>
                      <w:rFonts w:ascii="Cambria Math" w:hAnsi="Cambria Math"/>
                      <w:sz w:val="20"/>
                      <w:szCs w:val="20"/>
                    </w:rPr>
                    <m:t>d</m:t>
                  </m:r>
                </m:e>
                <m:sup>
                  <m:r>
                    <m:rPr>
                      <m:sty m:val="b"/>
                    </m:rPr>
                    <w:rPr>
                      <w:rFonts w:ascii="Cambria Math" w:hAnsi="Cambria Math"/>
                      <w:sz w:val="20"/>
                      <w:szCs w:val="20"/>
                    </w:rPr>
                    <m:t>'</m:t>
                  </m:r>
                </m:sup>
              </m:sSup>
              <m:r>
                <m:rPr>
                  <m:sty m:val="b"/>
                </m:rPr>
                <w:rPr>
                  <w:rFonts w:ascii="Cambria Math" w:hAnsi="Cambria Math"/>
                  <w:sz w:val="20"/>
                  <w:szCs w:val="20"/>
                </w:rPr>
                <m:t xml:space="preserve">heure dans </m:t>
              </m:r>
              <m:sSup>
                <m:sSupPr>
                  <m:ctrlPr>
                    <w:rPr>
                      <w:rFonts w:ascii="Cambria Math" w:hAnsi="Cambria Math"/>
                      <w:b/>
                      <w:sz w:val="20"/>
                      <w:szCs w:val="20"/>
                    </w:rPr>
                  </m:ctrlPr>
                </m:sSupPr>
                <m:e>
                  <m:r>
                    <m:rPr>
                      <m:sty m:val="b"/>
                    </m:rPr>
                    <w:rPr>
                      <w:rFonts w:ascii="Cambria Math" w:hAnsi="Cambria Math"/>
                      <w:sz w:val="20"/>
                      <w:szCs w:val="20"/>
                    </w:rPr>
                    <m:t>l</m:t>
                  </m:r>
                </m:e>
                <m:sup>
                  <m:r>
                    <m:rPr>
                      <m:sty m:val="b"/>
                    </m:rPr>
                    <w:rPr>
                      <w:rFonts w:ascii="Cambria Math" w:hAnsi="Cambria Math"/>
                      <w:sz w:val="20"/>
                      <w:szCs w:val="20"/>
                    </w:rPr>
                    <m:t>'</m:t>
                  </m:r>
                </m:sup>
              </m:sSup>
              <m:r>
                <m:rPr>
                  <m:sty m:val="b"/>
                </m:rPr>
                <w:rPr>
                  <w:rFonts w:ascii="Cambria Math" w:hAnsi="Cambria Math"/>
                  <w:sz w:val="20"/>
                  <w:szCs w:val="20"/>
                </w:rPr>
                <m:t>année</m:t>
              </m:r>
            </m:den>
          </m:f>
          <m:r>
            <m:rPr>
              <m:sty m:val="b"/>
            </m:rPr>
            <w:rPr>
              <w:rFonts w:ascii="Cambria Math" w:hAnsi="Cambria Math"/>
              <w:sz w:val="20"/>
              <w:szCs w:val="20"/>
            </w:rPr>
            <m:t>)</m:t>
          </m:r>
        </m:oMath>
      </m:oMathPara>
    </w:p>
    <w:p w14:paraId="15026BBB" w14:textId="77777777" w:rsidR="00815834" w:rsidRPr="00DA2F93" w:rsidRDefault="00815834" w:rsidP="00012868">
      <w:pPr>
        <w:shd w:val="clear" w:color="auto" w:fill="FFFFFF" w:themeFill="background1"/>
        <w:jc w:val="both"/>
        <w:rPr>
          <w:szCs w:val="24"/>
        </w:rPr>
      </w:pPr>
    </w:p>
    <w:p w14:paraId="18EBA73F" w14:textId="69EC55F7" w:rsidR="00012868" w:rsidRPr="00DA2F93" w:rsidRDefault="00815834" w:rsidP="00012868">
      <w:pPr>
        <w:shd w:val="clear" w:color="auto" w:fill="FFFFFF" w:themeFill="background1"/>
        <w:jc w:val="both"/>
        <w:rPr>
          <w:szCs w:val="24"/>
        </w:rPr>
      </w:pPr>
      <w:r w:rsidRPr="00DA2F93">
        <w:rPr>
          <w:szCs w:val="24"/>
        </w:rPr>
        <w:t>Le nombre d’heures durant lesquelles l’Installation est indisponible</w:t>
      </w:r>
      <w:r w:rsidR="00012868" w:rsidRPr="00DA2F93">
        <w:rPr>
          <w:szCs w:val="24"/>
        </w:rPr>
        <w:t xml:space="preserve"> </w:t>
      </w:r>
      <w:r w:rsidRPr="00DA2F93">
        <w:rPr>
          <w:szCs w:val="24"/>
        </w:rPr>
        <w:t>dans l’année correspond aux indisponibilités</w:t>
      </w:r>
      <w:r w:rsidR="00012868" w:rsidRPr="00DA2F93">
        <w:rPr>
          <w:szCs w:val="24"/>
        </w:rPr>
        <w:t xml:space="preserve"> annuelle</w:t>
      </w:r>
      <w:r w:rsidRPr="00DA2F93">
        <w:rPr>
          <w:szCs w:val="24"/>
        </w:rPr>
        <w:t>s</w:t>
      </w:r>
      <w:r w:rsidR="00012868" w:rsidRPr="00DA2F93">
        <w:rPr>
          <w:szCs w:val="24"/>
        </w:rPr>
        <w:t xml:space="preserve"> dont l’origine </w:t>
      </w:r>
      <w:r w:rsidR="00CD4121">
        <w:rPr>
          <w:szCs w:val="24"/>
        </w:rPr>
        <w:t xml:space="preserve">n’est pas de la responsabilité du </w:t>
      </w:r>
      <w:r w:rsidR="00B361C0">
        <w:rPr>
          <w:szCs w:val="24"/>
        </w:rPr>
        <w:t>GRT</w:t>
      </w:r>
      <w:r w:rsidR="00111810" w:rsidRPr="00DA2F93">
        <w:rPr>
          <w:szCs w:val="24"/>
        </w:rPr>
        <w:t xml:space="preserve"> et mesurée par l</w:t>
      </w:r>
      <w:r w:rsidR="00673CB8" w:rsidRPr="00DA2F93">
        <w:rPr>
          <w:szCs w:val="24"/>
        </w:rPr>
        <w:t xml:space="preserve">e </w:t>
      </w:r>
      <w:r w:rsidR="00B361C0">
        <w:rPr>
          <w:szCs w:val="24"/>
        </w:rPr>
        <w:t>GRT</w:t>
      </w:r>
      <w:r w:rsidR="00111810" w:rsidRPr="00DA2F93">
        <w:rPr>
          <w:szCs w:val="24"/>
        </w:rPr>
        <w:t xml:space="preserve"> (cf</w:t>
      </w:r>
      <w:r w:rsidRPr="00DA2F93">
        <w:rPr>
          <w:szCs w:val="24"/>
        </w:rPr>
        <w:t>.</w:t>
      </w:r>
      <w:r w:rsidR="00111810" w:rsidRPr="00DA2F93">
        <w:rPr>
          <w:szCs w:val="24"/>
        </w:rPr>
        <w:t xml:space="preserve"> </w:t>
      </w:r>
      <w:r w:rsidR="00111810" w:rsidRPr="00DA2F93">
        <w:rPr>
          <w:rFonts w:cs="Arial"/>
          <w:iCs/>
        </w:rPr>
        <w:t xml:space="preserve">§ </w:t>
      </w:r>
      <w:r w:rsidR="00C71C22" w:rsidRPr="00DA2F93">
        <w:fldChar w:fldCharType="begin"/>
      </w:r>
      <w:r w:rsidR="00C71C22" w:rsidRPr="00DA2F93">
        <w:instrText xml:space="preserve"> REF _Ref427765782 \r \h  \* MERGEFORMAT </w:instrText>
      </w:r>
      <w:r w:rsidR="00C71C22" w:rsidRPr="00DA2F93">
        <w:fldChar w:fldCharType="separate"/>
      </w:r>
      <w:r w:rsidR="0042414D" w:rsidRPr="001E4AE7">
        <w:rPr>
          <w:rFonts w:cs="Arial"/>
          <w:iCs/>
        </w:rPr>
        <w:t>11.2</w:t>
      </w:r>
      <w:r w:rsidR="00C71C22" w:rsidRPr="00DA2F93">
        <w:fldChar w:fldCharType="end"/>
      </w:r>
      <w:r w:rsidR="00111810" w:rsidRPr="00DA2F93">
        <w:rPr>
          <w:rFonts w:cs="Arial"/>
          <w:iCs/>
        </w:rPr>
        <w:t>)</w:t>
      </w:r>
      <w:r w:rsidR="00012868" w:rsidRPr="00DA2F93">
        <w:rPr>
          <w:szCs w:val="24"/>
        </w:rPr>
        <w:t>.</w:t>
      </w:r>
      <w:r w:rsidR="006D3117" w:rsidRPr="00DA2F93">
        <w:rPr>
          <w:szCs w:val="24"/>
        </w:rPr>
        <w:t xml:space="preserve"> Ce nombre d’heures comprend :</w:t>
      </w:r>
    </w:p>
    <w:p w14:paraId="237BEC36" w14:textId="77777777" w:rsidR="006D3117" w:rsidRPr="00DA2F93" w:rsidRDefault="006D3117" w:rsidP="008544B3">
      <w:pPr>
        <w:pStyle w:val="Paragraphedeliste"/>
        <w:numPr>
          <w:ilvl w:val="0"/>
          <w:numId w:val="16"/>
        </w:numPr>
        <w:shd w:val="clear" w:color="auto" w:fill="FFFFFF" w:themeFill="background1"/>
        <w:jc w:val="both"/>
        <w:rPr>
          <w:szCs w:val="24"/>
        </w:rPr>
      </w:pPr>
      <w:r w:rsidRPr="00DA2F93">
        <w:rPr>
          <w:szCs w:val="24"/>
        </w:rPr>
        <w:t>Les heures déclarées</w:t>
      </w:r>
      <w:r w:rsidR="00CC72B1" w:rsidRPr="00DA2F93">
        <w:rPr>
          <w:szCs w:val="24"/>
        </w:rPr>
        <w:t xml:space="preserve"> indisponibles</w:t>
      </w:r>
      <w:r w:rsidRPr="00DA2F93">
        <w:rPr>
          <w:szCs w:val="24"/>
        </w:rPr>
        <w:t xml:space="preserve"> par le </w:t>
      </w:r>
      <w:r w:rsidR="00554628" w:rsidRPr="00DA2F93">
        <w:rPr>
          <w:szCs w:val="24"/>
        </w:rPr>
        <w:t>Stockeur</w:t>
      </w:r>
      <w:r w:rsidRPr="00DA2F93">
        <w:rPr>
          <w:szCs w:val="24"/>
        </w:rPr>
        <w:t xml:space="preserve"> au programme hebdomadaire de disponibilité ;</w:t>
      </w:r>
    </w:p>
    <w:p w14:paraId="6421A2AA" w14:textId="73D67347" w:rsidR="006D3117" w:rsidRPr="00DA2F93" w:rsidRDefault="006D3117" w:rsidP="008544B3">
      <w:pPr>
        <w:pStyle w:val="Paragraphedeliste"/>
        <w:numPr>
          <w:ilvl w:val="0"/>
          <w:numId w:val="16"/>
        </w:numPr>
        <w:shd w:val="clear" w:color="auto" w:fill="FFFFFF" w:themeFill="background1"/>
        <w:jc w:val="both"/>
        <w:rPr>
          <w:szCs w:val="24"/>
        </w:rPr>
      </w:pPr>
      <w:r w:rsidRPr="00DA2F93">
        <w:rPr>
          <w:szCs w:val="24"/>
        </w:rPr>
        <w:t xml:space="preserve">Les heures </w:t>
      </w:r>
      <w:r w:rsidR="00CC72B1" w:rsidRPr="00DA2F93">
        <w:rPr>
          <w:szCs w:val="24"/>
        </w:rPr>
        <w:t>qui suivent les périodes pénalisées selon les modalités</w:t>
      </w:r>
      <w:r w:rsidR="0067264B" w:rsidRPr="00DA2F93">
        <w:rPr>
          <w:szCs w:val="24"/>
        </w:rPr>
        <w:t xml:space="preserve"> </w:t>
      </w:r>
      <w:r w:rsidR="00FA3C5B" w:rsidRPr="00DA2F93">
        <w:rPr>
          <w:szCs w:val="24"/>
        </w:rPr>
        <w:t xml:space="preserve">prévues à l’article </w:t>
      </w:r>
      <w:r w:rsidR="00C71C22" w:rsidRPr="00DA2F93">
        <w:fldChar w:fldCharType="begin"/>
      </w:r>
      <w:r w:rsidR="00C71C22" w:rsidRPr="00DA2F93">
        <w:instrText xml:space="preserve"> REF _Ref382468884 \r \h  \* MERGEFORMAT </w:instrText>
      </w:r>
      <w:r w:rsidR="00C71C22" w:rsidRPr="00DA2F93">
        <w:fldChar w:fldCharType="separate"/>
      </w:r>
      <w:r w:rsidR="0042414D" w:rsidRPr="001E4AE7">
        <w:rPr>
          <w:szCs w:val="24"/>
        </w:rPr>
        <w:t>12</w:t>
      </w:r>
      <w:r w:rsidR="00C71C22" w:rsidRPr="00DA2F93">
        <w:fldChar w:fldCharType="end"/>
      </w:r>
      <w:r w:rsidR="00FA3C5B" w:rsidRPr="00DA2F93">
        <w:t xml:space="preserve"> </w:t>
      </w:r>
      <w:r w:rsidRPr="00DA2F93">
        <w:rPr>
          <w:szCs w:val="24"/>
        </w:rPr>
        <w:t xml:space="preserve">jusqu’à ce que le </w:t>
      </w:r>
      <w:r w:rsidR="00554628" w:rsidRPr="00DA2F93">
        <w:rPr>
          <w:szCs w:val="24"/>
        </w:rPr>
        <w:t>Stockeur</w:t>
      </w:r>
      <w:r w:rsidRPr="00DA2F93">
        <w:rPr>
          <w:szCs w:val="24"/>
        </w:rPr>
        <w:t xml:space="preserve"> </w:t>
      </w:r>
      <w:proofErr w:type="spellStart"/>
      <w:r w:rsidRPr="00DA2F93">
        <w:rPr>
          <w:szCs w:val="24"/>
        </w:rPr>
        <w:t>redéclare</w:t>
      </w:r>
      <w:proofErr w:type="spellEnd"/>
      <w:r w:rsidRPr="00DA2F93">
        <w:rPr>
          <w:szCs w:val="24"/>
        </w:rPr>
        <w:t xml:space="preserve"> son installation disponible. Cette </w:t>
      </w:r>
      <w:proofErr w:type="spellStart"/>
      <w:r w:rsidRPr="00DA2F93">
        <w:rPr>
          <w:szCs w:val="24"/>
        </w:rPr>
        <w:t>redéclaration</w:t>
      </w:r>
      <w:proofErr w:type="spellEnd"/>
      <w:r w:rsidRPr="00DA2F93">
        <w:rPr>
          <w:szCs w:val="24"/>
        </w:rPr>
        <w:t xml:space="preserve"> </w:t>
      </w:r>
      <w:r w:rsidR="000C5A6A" w:rsidRPr="00DA2F93">
        <w:rPr>
          <w:szCs w:val="24"/>
        </w:rPr>
        <w:t xml:space="preserve">doit </w:t>
      </w:r>
      <w:r w:rsidRPr="00DA2F93">
        <w:rPr>
          <w:szCs w:val="24"/>
        </w:rPr>
        <w:t>s’accompagne</w:t>
      </w:r>
      <w:r w:rsidR="000C5A6A" w:rsidRPr="00DA2F93">
        <w:rPr>
          <w:szCs w:val="24"/>
        </w:rPr>
        <w:t>r</w:t>
      </w:r>
      <w:r w:rsidRPr="00DA2F93">
        <w:rPr>
          <w:szCs w:val="24"/>
        </w:rPr>
        <w:t xml:space="preserve"> d’un test </w:t>
      </w:r>
      <w:r w:rsidR="00FA3C5B" w:rsidRPr="00DA2F93">
        <w:rPr>
          <w:szCs w:val="24"/>
        </w:rPr>
        <w:t xml:space="preserve">validé par le gestionnaire de réseau public de </w:t>
      </w:r>
      <w:r w:rsidR="003A3709">
        <w:rPr>
          <w:szCs w:val="24"/>
        </w:rPr>
        <w:t>transport</w:t>
      </w:r>
      <w:r w:rsidR="00FA3C5B" w:rsidRPr="00DA2F93">
        <w:rPr>
          <w:szCs w:val="24"/>
        </w:rPr>
        <w:t xml:space="preserve"> </w:t>
      </w:r>
      <w:r w:rsidRPr="00DA2F93">
        <w:rPr>
          <w:szCs w:val="24"/>
        </w:rPr>
        <w:t>justifiant de la remise en</w:t>
      </w:r>
      <w:r w:rsidR="00FA3C5B" w:rsidRPr="00DA2F93">
        <w:rPr>
          <w:szCs w:val="24"/>
        </w:rPr>
        <w:t xml:space="preserve"> conformité de l’Installation</w:t>
      </w:r>
      <w:r w:rsidRPr="00DA2F93">
        <w:rPr>
          <w:szCs w:val="24"/>
        </w:rPr>
        <w:t>.</w:t>
      </w:r>
    </w:p>
    <w:p w14:paraId="69014F33" w14:textId="547C010D" w:rsidR="00F86970" w:rsidRDefault="00F86970" w:rsidP="00012868">
      <w:pPr>
        <w:shd w:val="clear" w:color="auto" w:fill="FFFFFF" w:themeFill="background1"/>
        <w:jc w:val="both"/>
        <w:rPr>
          <w:szCs w:val="24"/>
        </w:rPr>
      </w:pPr>
      <w:r>
        <w:rPr>
          <w:szCs w:val="24"/>
        </w:rPr>
        <w:t xml:space="preserve">Les </w:t>
      </w:r>
      <w:r w:rsidR="0023689D">
        <w:rPr>
          <w:szCs w:val="24"/>
        </w:rPr>
        <w:t>heures dans l’année</w:t>
      </w:r>
      <w:r>
        <w:rPr>
          <w:szCs w:val="24"/>
        </w:rPr>
        <w:t xml:space="preserve"> pendant lesquelles le réseau du GRT est indisponible ne sont pas comptabilisées pour le calcul de la disponibilité effective.</w:t>
      </w:r>
    </w:p>
    <w:p w14:paraId="32DAE9C3" w14:textId="2DBC51E7" w:rsidR="00012868" w:rsidRPr="00DA2F93" w:rsidRDefault="00F86970" w:rsidP="00012868">
      <w:pPr>
        <w:shd w:val="clear" w:color="auto" w:fill="FFFFFF" w:themeFill="background1"/>
        <w:jc w:val="both"/>
        <w:rPr>
          <w:szCs w:val="24"/>
        </w:rPr>
      </w:pPr>
      <w:r>
        <w:rPr>
          <w:szCs w:val="24"/>
        </w:rPr>
        <w:t>S</w:t>
      </w:r>
      <w:r w:rsidR="00012868" w:rsidRPr="00DA2F93">
        <w:rPr>
          <w:szCs w:val="24"/>
        </w:rPr>
        <w:t xml:space="preserve">i le </w:t>
      </w:r>
      <w:r w:rsidR="00554628" w:rsidRPr="00DA2F93">
        <w:rPr>
          <w:szCs w:val="24"/>
        </w:rPr>
        <w:t>Stockeur</w:t>
      </w:r>
      <w:r w:rsidR="00012868" w:rsidRPr="00DA2F93">
        <w:rPr>
          <w:szCs w:val="24"/>
        </w:rPr>
        <w:t xml:space="preserve"> est </w:t>
      </w:r>
      <w:r>
        <w:rPr>
          <w:szCs w:val="24"/>
        </w:rPr>
        <w:t>d’avantage</w:t>
      </w:r>
      <w:r w:rsidRPr="00DA2F93">
        <w:rPr>
          <w:szCs w:val="24"/>
        </w:rPr>
        <w:t xml:space="preserve"> </w:t>
      </w:r>
      <w:r w:rsidR="00012868" w:rsidRPr="00DA2F93">
        <w:rPr>
          <w:szCs w:val="24"/>
        </w:rPr>
        <w:t xml:space="preserve">disponible que son engagement contractuel, la PPG annuelle est affectée d’un Bonus. Dans le cas contraire, elle est affectée d’un Malus. </w:t>
      </w:r>
    </w:p>
    <w:p w14:paraId="1346B908" w14:textId="51228528" w:rsidR="00643EAF" w:rsidRPr="00DA2F93" w:rsidRDefault="003422B4" w:rsidP="001274A3">
      <w:pPr>
        <w:widowControl w:val="0"/>
        <w:tabs>
          <w:tab w:val="left" w:pos="12333"/>
        </w:tabs>
        <w:autoSpaceDE w:val="0"/>
        <w:autoSpaceDN w:val="0"/>
        <w:adjustRightInd w:val="0"/>
        <w:spacing w:before="29"/>
        <w:ind w:right="48"/>
        <w:jc w:val="both"/>
      </w:pPr>
      <w:r w:rsidRPr="00DA2F93">
        <w:t xml:space="preserve">Le </w:t>
      </w:r>
      <w:r w:rsidR="00643EAF" w:rsidRPr="00DA2F93">
        <w:t>Malus annuel est plafonné</w:t>
      </w:r>
      <w:r w:rsidR="00EE2448">
        <w:t xml:space="preserve"> à la PPG</w:t>
      </w:r>
      <w:r w:rsidR="00643EAF" w:rsidRPr="00DA2F93">
        <w:t>. Le Malus annuel peut donc représenter 100 % de la PPG contractuelle annuelle indexée</w:t>
      </w:r>
      <w:r w:rsidR="00C35825" w:rsidRPr="00DA2F93">
        <w:t xml:space="preserve"> (années 1 à </w:t>
      </w:r>
      <w:proofErr w:type="spellStart"/>
      <w:r w:rsidR="00AC5E9B">
        <w:t>mi-</w:t>
      </w:r>
      <w:r w:rsidR="00DC6BAA">
        <w:t>contrat</w:t>
      </w:r>
      <w:proofErr w:type="spellEnd"/>
      <w:r w:rsidR="00C35825" w:rsidRPr="00DA2F93">
        <w:t xml:space="preserve">) ou 100% de la PPG contractuelle après indexation de l’année </w:t>
      </w:r>
      <w:r w:rsidR="00AC5E9B">
        <w:t xml:space="preserve">de </w:t>
      </w:r>
      <w:proofErr w:type="spellStart"/>
      <w:r w:rsidR="00AC5E9B">
        <w:t>mi-</w:t>
      </w:r>
      <w:r w:rsidR="00DC6BAA">
        <w:t>contrat</w:t>
      </w:r>
      <w:proofErr w:type="spellEnd"/>
      <w:r w:rsidR="00AC5E9B" w:rsidRPr="00DA2F93">
        <w:t xml:space="preserve"> </w:t>
      </w:r>
      <w:r w:rsidR="00C35825" w:rsidRPr="00DA2F93">
        <w:t xml:space="preserve">(années </w:t>
      </w:r>
      <w:r w:rsidR="003514A6">
        <w:t xml:space="preserve">suivant </w:t>
      </w:r>
      <w:proofErr w:type="gramStart"/>
      <w:r w:rsidR="003514A6">
        <w:t>la</w:t>
      </w:r>
      <w:proofErr w:type="gramEnd"/>
      <w:r w:rsidR="003514A6">
        <w:t xml:space="preserve"> </w:t>
      </w:r>
      <w:proofErr w:type="spellStart"/>
      <w:r w:rsidR="003514A6">
        <w:t>mi-</w:t>
      </w:r>
      <w:r w:rsidR="00DC6BAA">
        <w:t>contrat</w:t>
      </w:r>
      <w:proofErr w:type="spellEnd"/>
      <w:r w:rsidR="003514A6" w:rsidRPr="00DA2F93">
        <w:t xml:space="preserve"> </w:t>
      </w:r>
      <w:r w:rsidR="00DC6BAA">
        <w:t>jusqu’</w:t>
      </w:r>
      <w:r w:rsidR="00C35825" w:rsidRPr="00DA2F93">
        <w:t xml:space="preserve">à </w:t>
      </w:r>
      <w:r w:rsidR="003514A6">
        <w:t>la fin d</w:t>
      </w:r>
      <w:r w:rsidR="00DC6BAA">
        <w:t>u contrat</w:t>
      </w:r>
      <w:r w:rsidR="003514A6">
        <w:t>)</w:t>
      </w:r>
      <w:r w:rsidR="00DC6BAA">
        <w:t xml:space="preserve">, l’année de </w:t>
      </w:r>
      <w:proofErr w:type="spellStart"/>
      <w:r w:rsidR="00DC6BAA">
        <w:t>mi-contrat</w:t>
      </w:r>
      <w:proofErr w:type="spellEnd"/>
      <w:r w:rsidR="00DC6BAA">
        <w:t xml:space="preserve"> étant la </w:t>
      </w:r>
      <w:r w:rsidR="00DC6BAA" w:rsidRPr="000243CB">
        <w:rPr>
          <w:highlight w:val="lightGray"/>
        </w:rPr>
        <w:t>XXX</w:t>
      </w:r>
      <w:r w:rsidR="00DC6BAA" w:rsidRPr="0012677E">
        <w:rPr>
          <w:vertAlign w:val="superscript"/>
        </w:rPr>
        <w:t>ème</w:t>
      </w:r>
      <w:r w:rsidR="00DC6BAA">
        <w:t xml:space="preserve"> année du contrat.</w:t>
      </w:r>
    </w:p>
    <w:p w14:paraId="024AE39C" w14:textId="77777777" w:rsidR="00F51426" w:rsidRDefault="00F51426" w:rsidP="001274A3">
      <w:pPr>
        <w:widowControl w:val="0"/>
        <w:tabs>
          <w:tab w:val="left" w:pos="12333"/>
        </w:tabs>
        <w:autoSpaceDE w:val="0"/>
        <w:autoSpaceDN w:val="0"/>
        <w:adjustRightInd w:val="0"/>
        <w:spacing w:before="29"/>
        <w:ind w:right="48"/>
        <w:jc w:val="both"/>
      </w:pPr>
    </w:p>
    <w:p w14:paraId="0DD8FB9C" w14:textId="77777777" w:rsidR="00F51426" w:rsidRDefault="00F51426" w:rsidP="001274A3">
      <w:pPr>
        <w:widowControl w:val="0"/>
        <w:tabs>
          <w:tab w:val="left" w:pos="12333"/>
        </w:tabs>
        <w:autoSpaceDE w:val="0"/>
        <w:autoSpaceDN w:val="0"/>
        <w:adjustRightInd w:val="0"/>
        <w:spacing w:before="29"/>
        <w:ind w:right="48"/>
        <w:jc w:val="both"/>
      </w:pPr>
    </w:p>
    <w:p w14:paraId="3120CA84" w14:textId="77777777" w:rsidR="00F51426" w:rsidRDefault="00F51426" w:rsidP="001274A3">
      <w:pPr>
        <w:widowControl w:val="0"/>
        <w:tabs>
          <w:tab w:val="left" w:pos="12333"/>
        </w:tabs>
        <w:autoSpaceDE w:val="0"/>
        <w:autoSpaceDN w:val="0"/>
        <w:adjustRightInd w:val="0"/>
        <w:spacing w:before="29"/>
        <w:ind w:right="48"/>
        <w:jc w:val="both"/>
      </w:pPr>
    </w:p>
    <w:p w14:paraId="08374B3D" w14:textId="340D4C8F" w:rsidR="00850DD6" w:rsidRDefault="000042A1" w:rsidP="001274A3">
      <w:pPr>
        <w:widowControl w:val="0"/>
        <w:tabs>
          <w:tab w:val="left" w:pos="12333"/>
        </w:tabs>
        <w:autoSpaceDE w:val="0"/>
        <w:autoSpaceDN w:val="0"/>
        <w:adjustRightInd w:val="0"/>
        <w:spacing w:before="29"/>
        <w:ind w:right="48"/>
        <w:jc w:val="both"/>
      </w:pPr>
      <w:r w:rsidRPr="00803E42">
        <w:t xml:space="preserve">En cas </w:t>
      </w:r>
      <w:r w:rsidR="00693F4E">
        <w:t>de disponibilité</w:t>
      </w:r>
      <w:r w:rsidR="00693F4E" w:rsidRPr="002E7B5A">
        <w:t xml:space="preserve"> </w:t>
      </w:r>
      <w:r w:rsidRPr="002E7B5A">
        <w:t>partielle de l’installation</w:t>
      </w:r>
      <w:r w:rsidRPr="00DA2F93">
        <w:t xml:space="preserve"> </w:t>
      </w:r>
      <w:r w:rsidR="00850DD6">
        <w:t>sur une heure</w:t>
      </w:r>
      <w:r w:rsidR="00275B11">
        <w:t>,</w:t>
      </w:r>
      <w:r w:rsidR="00850DD6">
        <w:t xml:space="preserve"> </w:t>
      </w:r>
      <w:r w:rsidR="00275B11">
        <w:t xml:space="preserve">sa </w:t>
      </w:r>
      <w:r w:rsidR="00275B11" w:rsidRPr="000243CB">
        <w:rPr>
          <w:b/>
          <w:bCs/>
        </w:rPr>
        <w:t>disponibilité horaire</w:t>
      </w:r>
      <w:r w:rsidR="00275B11">
        <w:t xml:space="preserve">, à utiliser pour le calcul </w:t>
      </w:r>
      <w:r w:rsidR="00275B11" w:rsidRPr="000243CB">
        <w:rPr>
          <w:b/>
          <w:bCs/>
        </w:rPr>
        <w:t>nombre d'heures durant lesquelles l'Installation est indisponible dans l'année</w:t>
      </w:r>
      <w:r w:rsidR="00275B11">
        <w:t>, est calculée de la manière suivante</w:t>
      </w:r>
      <w:r w:rsidR="00850DD6">
        <w:t> :</w:t>
      </w:r>
      <w:r w:rsidR="00B84289">
        <w:t xml:space="preserve"> </w:t>
      </w:r>
    </w:p>
    <w:p w14:paraId="51511AB7" w14:textId="7DFCC417" w:rsidR="00275B11" w:rsidRPr="00A60F2C" w:rsidRDefault="00844183" w:rsidP="00275B11">
      <w:pPr>
        <w:jc w:val="both"/>
        <w:rPr>
          <w:sz w:val="20"/>
          <w:szCs w:val="20"/>
        </w:rPr>
      </w:pPr>
      <m:oMathPara>
        <m:oMath>
          <m:r>
            <m:rPr>
              <m:sty m:val="b"/>
            </m:rPr>
            <w:rPr>
              <w:rFonts w:ascii="Cambria Math" w:hAnsi="Cambria Math"/>
              <w:sz w:val="20"/>
              <w:szCs w:val="20"/>
            </w:rPr>
            <w:lastRenderedPageBreak/>
            <m:t xml:space="preserve">minimum </m:t>
          </m:r>
          <m:d>
            <m:dPr>
              <m:ctrlPr>
                <w:rPr>
                  <w:rFonts w:ascii="Cambria Math" w:hAnsi="Cambria Math"/>
                  <w:b/>
                  <w:sz w:val="20"/>
                  <w:szCs w:val="20"/>
                </w:rPr>
              </m:ctrlPr>
            </m:dPr>
            <m:e>
              <m:eqArr>
                <m:eqArrPr>
                  <m:ctrlPr>
                    <w:rPr>
                      <w:rFonts w:ascii="Cambria Math" w:hAnsi="Cambria Math"/>
                      <w:b/>
                      <w:sz w:val="20"/>
                      <w:szCs w:val="20"/>
                    </w:rPr>
                  </m:ctrlPr>
                </m:eqArrPr>
                <m:e>
                  <m:r>
                    <m:rPr>
                      <m:sty m:val="b"/>
                    </m:rPr>
                    <w:rPr>
                      <w:rFonts w:ascii="Cambria Math" w:hAnsi="Cambria Math"/>
                      <w:sz w:val="20"/>
                      <w:szCs w:val="20"/>
                    </w:rPr>
                    <m:t>disponibilit</m:t>
                  </m:r>
                  <m:r>
                    <m:rPr>
                      <m:sty m:val="b"/>
                    </m:rPr>
                    <w:rPr>
                      <w:rFonts w:ascii="Cambria Math" w:hAnsi="Cambria Math" w:hint="eastAsia"/>
                      <w:sz w:val="20"/>
                      <w:szCs w:val="20"/>
                    </w:rPr>
                    <m:t>é</m:t>
                  </m:r>
                  <m:r>
                    <m:rPr>
                      <m:sty m:val="b"/>
                    </m:rPr>
                    <w:rPr>
                      <w:rFonts w:ascii="Cambria Math" w:hAnsi="Cambria Math"/>
                      <w:sz w:val="20"/>
                      <w:szCs w:val="20"/>
                    </w:rPr>
                    <m:t xml:space="preserve"> </m:t>
                  </m:r>
                  <m:r>
                    <m:rPr>
                      <m:sty m:val="b"/>
                    </m:rPr>
                    <w:rPr>
                      <w:rFonts w:ascii="Cambria Math" w:hAnsi="Cambria Math" w:hint="eastAsia"/>
                      <w:sz w:val="20"/>
                      <w:szCs w:val="20"/>
                    </w:rPr>
                    <m:t>é</m:t>
                  </m:r>
                  <m:r>
                    <m:rPr>
                      <m:sty m:val="b"/>
                    </m:rPr>
                    <w:rPr>
                      <w:rFonts w:ascii="Cambria Math" w:hAnsi="Cambria Math"/>
                      <w:sz w:val="20"/>
                      <w:szCs w:val="20"/>
                    </w:rPr>
                    <m:t>nergie, disponibilit</m:t>
                  </m:r>
                  <m:r>
                    <m:rPr>
                      <m:sty m:val="b"/>
                    </m:rPr>
                    <w:rPr>
                      <w:rFonts w:ascii="Cambria Math" w:hAnsi="Cambria Math" w:hint="eastAsia"/>
                      <w:sz w:val="20"/>
                      <w:szCs w:val="20"/>
                    </w:rPr>
                    <m:t>é</m:t>
                  </m:r>
                  <m:r>
                    <m:rPr>
                      <m:sty m:val="b"/>
                    </m:rPr>
                    <w:rPr>
                      <w:rFonts w:ascii="Cambria Math" w:hAnsi="Cambria Math"/>
                      <w:sz w:val="20"/>
                      <w:szCs w:val="20"/>
                    </w:rPr>
                    <m:t xml:space="preserve"> puissance active, </m:t>
                  </m:r>
                </m:e>
                <m:e>
                  <m:r>
                    <m:rPr>
                      <m:sty m:val="b"/>
                    </m:rPr>
                    <w:rPr>
                      <w:rFonts w:ascii="Cambria Math" w:hAnsi="Cambria Math"/>
                      <w:sz w:val="20"/>
                      <w:szCs w:val="20"/>
                    </w:rPr>
                    <m:t>disponibilit</m:t>
                  </m:r>
                  <m:r>
                    <m:rPr>
                      <m:sty m:val="b"/>
                    </m:rPr>
                    <w:rPr>
                      <w:rFonts w:ascii="Cambria Math" w:hAnsi="Cambria Math" w:hint="eastAsia"/>
                      <w:sz w:val="20"/>
                      <w:szCs w:val="20"/>
                    </w:rPr>
                    <m:t>é</m:t>
                  </m:r>
                  <m:r>
                    <m:rPr>
                      <m:sty m:val="b"/>
                    </m:rPr>
                    <w:rPr>
                      <w:rFonts w:ascii="Cambria Math" w:hAnsi="Cambria Math"/>
                      <w:sz w:val="20"/>
                      <w:szCs w:val="20"/>
                    </w:rPr>
                    <m:t xml:space="preserve"> puissance r</m:t>
                  </m:r>
                  <m:r>
                    <m:rPr>
                      <m:sty m:val="b"/>
                    </m:rPr>
                    <w:rPr>
                      <w:rFonts w:ascii="Cambria Math" w:hAnsi="Cambria Math" w:hint="eastAsia"/>
                      <w:sz w:val="20"/>
                      <w:szCs w:val="20"/>
                    </w:rPr>
                    <m:t>é</m:t>
                  </m:r>
                  <m:r>
                    <m:rPr>
                      <m:sty m:val="b"/>
                    </m:rPr>
                    <w:rPr>
                      <w:rFonts w:ascii="Cambria Math" w:hAnsi="Cambria Math"/>
                      <w:sz w:val="20"/>
                      <w:szCs w:val="20"/>
                    </w:rPr>
                    <m:t>active, disponibilit</m:t>
                  </m:r>
                  <m:r>
                    <m:rPr>
                      <m:sty m:val="b"/>
                    </m:rPr>
                    <w:rPr>
                      <w:rFonts w:ascii="Cambria Math" w:hAnsi="Cambria Math" w:hint="eastAsia"/>
                      <w:sz w:val="20"/>
                      <w:szCs w:val="20"/>
                    </w:rPr>
                    <m:t>é</m:t>
                  </m:r>
                  <m:r>
                    <m:rPr>
                      <m:sty m:val="b"/>
                    </m:rPr>
                    <w:rPr>
                      <w:rFonts w:ascii="Cambria Math" w:hAnsi="Cambria Math"/>
                      <w:sz w:val="20"/>
                      <w:szCs w:val="20"/>
                    </w:rPr>
                    <m:t xml:space="preserve"> ICC</m:t>
                  </m:r>
                </m:e>
              </m:eqArr>
            </m:e>
          </m:d>
        </m:oMath>
      </m:oMathPara>
    </w:p>
    <w:p w14:paraId="39A1D952" w14:textId="2AF732AF" w:rsidR="00275B11" w:rsidRDefault="00275B11" w:rsidP="001274A3">
      <w:pPr>
        <w:widowControl w:val="0"/>
        <w:tabs>
          <w:tab w:val="left" w:pos="12333"/>
        </w:tabs>
        <w:autoSpaceDE w:val="0"/>
        <w:autoSpaceDN w:val="0"/>
        <w:adjustRightInd w:val="0"/>
        <w:spacing w:before="29"/>
        <w:ind w:right="48"/>
        <w:jc w:val="both"/>
      </w:pPr>
    </w:p>
    <w:p w14:paraId="686032C5" w14:textId="1C159BD0" w:rsidR="00C17C3E" w:rsidRDefault="00C17C3E" w:rsidP="001274A3">
      <w:pPr>
        <w:widowControl w:val="0"/>
        <w:tabs>
          <w:tab w:val="left" w:pos="12333"/>
        </w:tabs>
        <w:autoSpaceDE w:val="0"/>
        <w:autoSpaceDN w:val="0"/>
        <w:adjustRightInd w:val="0"/>
        <w:spacing w:before="29"/>
        <w:ind w:right="48"/>
        <w:jc w:val="both"/>
      </w:pPr>
      <w:r>
        <w:t>Les différentes disponibilités sont définies comme suit :</w:t>
      </w:r>
    </w:p>
    <w:p w14:paraId="0407481E" w14:textId="0D816EA7" w:rsidR="00C17C3E" w:rsidRPr="00A60F2C" w:rsidRDefault="00C17C3E" w:rsidP="001274A3">
      <w:pPr>
        <w:widowControl w:val="0"/>
        <w:tabs>
          <w:tab w:val="left" w:pos="12333"/>
        </w:tabs>
        <w:autoSpaceDE w:val="0"/>
        <w:autoSpaceDN w:val="0"/>
        <w:adjustRightInd w:val="0"/>
        <w:spacing w:before="29"/>
        <w:ind w:right="48"/>
        <w:jc w:val="both"/>
        <w:rPr>
          <w:b/>
          <w:sz w:val="20"/>
          <w:szCs w:val="20"/>
        </w:rPr>
      </w:pPr>
      <m:oMathPara>
        <m:oMath>
          <m:r>
            <m:rPr>
              <m:sty m:val="b"/>
            </m:rPr>
            <w:rPr>
              <w:rFonts w:ascii="Cambria Math" w:hAnsi="Cambria Math"/>
              <w:sz w:val="20"/>
              <w:szCs w:val="20"/>
            </w:rPr>
            <m:t>disponibilité énergie=</m:t>
          </m:r>
          <m:f>
            <m:fPr>
              <m:ctrlPr>
                <w:rPr>
                  <w:rFonts w:ascii="Cambria Math" w:hAnsi="Cambria Math"/>
                  <w:b/>
                  <w:sz w:val="20"/>
                  <w:szCs w:val="20"/>
                </w:rPr>
              </m:ctrlPr>
            </m:fPr>
            <m:num>
              <m:r>
                <m:rPr>
                  <m:sty m:val="bi"/>
                </m:rPr>
                <w:rPr>
                  <w:rFonts w:ascii="Cambria Math" w:hAnsi="Cambria Math"/>
                  <w:sz w:val="20"/>
                  <w:szCs w:val="20"/>
                </w:rPr>
                <m:t>énergie d</m:t>
              </m:r>
              <m:r>
                <m:rPr>
                  <m:sty m:val="bi"/>
                </m:rPr>
                <w:rPr>
                  <w:rFonts w:ascii="Cambria Math" w:hAnsi="Cambria Math" w:hint="eastAsia"/>
                  <w:sz w:val="20"/>
                  <w:szCs w:val="20"/>
                </w:rPr>
                <m:t>é</m:t>
              </m:r>
              <m:r>
                <m:rPr>
                  <m:sty m:val="bi"/>
                </m:rPr>
                <w:rPr>
                  <w:rFonts w:ascii="Cambria Math" w:hAnsi="Cambria Math"/>
                  <w:sz w:val="20"/>
                  <w:szCs w:val="20"/>
                </w:rPr>
                <m:t xml:space="preserve">chargeable disponible </m:t>
              </m:r>
              <m:ctrlPr>
                <w:rPr>
                  <w:rFonts w:ascii="Cambria Math" w:hAnsi="Cambria Math"/>
                  <w:i/>
                  <w:sz w:val="20"/>
                  <w:szCs w:val="20"/>
                </w:rPr>
              </m:ctrlPr>
            </m:num>
            <m:den>
              <m:r>
                <m:rPr>
                  <m:sty m:val="bi"/>
                </m:rPr>
                <w:rPr>
                  <w:rFonts w:ascii="Cambria Math" w:hAnsi="Cambria Math" w:hint="eastAsia"/>
                  <w:sz w:val="20"/>
                  <w:szCs w:val="20"/>
                </w:rPr>
                <m:t>é</m:t>
              </m:r>
              <m:r>
                <m:rPr>
                  <m:sty m:val="bi"/>
                </m:rPr>
                <w:rPr>
                  <w:rFonts w:ascii="Cambria Math" w:hAnsi="Cambria Math"/>
                  <w:sz w:val="20"/>
                  <w:szCs w:val="20"/>
                </w:rPr>
                <m:t>nergie d</m:t>
              </m:r>
              <m:r>
                <m:rPr>
                  <m:sty m:val="bi"/>
                </m:rPr>
                <w:rPr>
                  <w:rFonts w:ascii="Cambria Math" w:hAnsi="Cambria Math" w:hint="eastAsia"/>
                  <w:sz w:val="20"/>
                  <w:szCs w:val="20"/>
                </w:rPr>
                <m:t>é</m:t>
              </m:r>
              <m:r>
                <m:rPr>
                  <m:sty m:val="bi"/>
                </m:rPr>
                <w:rPr>
                  <w:rFonts w:ascii="Cambria Math" w:hAnsi="Cambria Math"/>
                  <w:sz w:val="20"/>
                  <w:szCs w:val="20"/>
                </w:rPr>
                <m:t>chargeable contractuelle</m:t>
              </m:r>
            </m:den>
          </m:f>
        </m:oMath>
      </m:oMathPara>
    </w:p>
    <w:p w14:paraId="397EACEC" w14:textId="77777777" w:rsidR="00412BF0" w:rsidRPr="0045730A" w:rsidRDefault="00412BF0" w:rsidP="001274A3">
      <w:pPr>
        <w:widowControl w:val="0"/>
        <w:tabs>
          <w:tab w:val="left" w:pos="12333"/>
        </w:tabs>
        <w:autoSpaceDE w:val="0"/>
        <w:autoSpaceDN w:val="0"/>
        <w:adjustRightInd w:val="0"/>
        <w:spacing w:before="29"/>
        <w:ind w:right="48"/>
        <w:jc w:val="both"/>
        <w:rPr>
          <w:b/>
          <w:sz w:val="20"/>
          <w:szCs w:val="20"/>
        </w:rPr>
      </w:pPr>
    </w:p>
    <w:p w14:paraId="00D93E24" w14:textId="70A0E690" w:rsidR="0045730A" w:rsidRPr="00A60F2C" w:rsidRDefault="0045730A" w:rsidP="001274A3">
      <w:pPr>
        <w:widowControl w:val="0"/>
        <w:tabs>
          <w:tab w:val="left" w:pos="12333"/>
        </w:tabs>
        <w:autoSpaceDE w:val="0"/>
        <w:autoSpaceDN w:val="0"/>
        <w:adjustRightInd w:val="0"/>
        <w:spacing w:before="29"/>
        <w:ind w:right="48"/>
        <w:jc w:val="both"/>
        <w:rPr>
          <w:b/>
          <w:bCs/>
          <w:sz w:val="20"/>
          <w:szCs w:val="20"/>
        </w:rPr>
      </w:pPr>
      <m:oMathPara>
        <m:oMathParaPr>
          <m:jc m:val="center"/>
        </m:oMathParaPr>
        <m:oMath>
          <m:r>
            <m:rPr>
              <m:sty m:val="bi"/>
            </m:rPr>
            <w:rPr>
              <w:rFonts w:ascii="Cambria Math" w:hAnsi="Cambria Math"/>
              <w:sz w:val="20"/>
              <w:szCs w:val="20"/>
            </w:rPr>
            <m:t>disponibilit</m:t>
          </m:r>
          <m:r>
            <m:rPr>
              <m:sty m:val="bi"/>
            </m:rPr>
            <w:rPr>
              <w:rFonts w:ascii="Cambria Math" w:hAnsi="Cambria Math" w:hint="eastAsia"/>
              <w:sz w:val="20"/>
              <w:szCs w:val="20"/>
            </w:rPr>
            <m:t>é</m:t>
          </m:r>
          <m:r>
            <m:rPr>
              <m:sty m:val="bi"/>
            </m:rPr>
            <w:rPr>
              <w:rFonts w:ascii="Cambria Math" w:hAnsi="Cambria Math"/>
              <w:sz w:val="20"/>
              <w:szCs w:val="20"/>
            </w:rPr>
            <m:t xml:space="preserve"> puissance active=</m:t>
          </m:r>
          <m:r>
            <m:rPr>
              <m:sty m:val="p"/>
            </m:rPr>
            <w:rPr>
              <w:rFonts w:ascii="Cambria Math" w:hAnsi="Cambria Math"/>
              <w:sz w:val="20"/>
              <w:szCs w:val="20"/>
            </w:rPr>
            <w:br/>
          </m:r>
        </m:oMath>
        <m:oMath>
          <m:r>
            <m:rPr>
              <m:sty m:val="bi"/>
            </m:rPr>
            <w:rPr>
              <w:rFonts w:ascii="Cambria Math" w:hAnsi="Cambria Math"/>
              <w:sz w:val="20"/>
              <w:szCs w:val="20"/>
            </w:rPr>
            <m:t>minimum</m:t>
          </m:r>
          <m:d>
            <m:dPr>
              <m:ctrlPr>
                <w:rPr>
                  <w:rFonts w:ascii="Cambria Math" w:hAnsi="Cambria Math"/>
                  <w:b/>
                  <w:bCs/>
                  <w:i/>
                  <w:sz w:val="20"/>
                  <w:szCs w:val="20"/>
                </w:rPr>
              </m:ctrlPr>
            </m:dPr>
            <m:e>
              <m:f>
                <m:fPr>
                  <m:ctrlPr>
                    <w:rPr>
                      <w:rFonts w:ascii="Cambria Math" w:hAnsi="Cambria Math"/>
                      <w:b/>
                      <w:bCs/>
                      <w:i/>
                      <w:sz w:val="20"/>
                      <w:szCs w:val="20"/>
                    </w:rPr>
                  </m:ctrlPr>
                </m:fPr>
                <m:num>
                  <m:r>
                    <m:rPr>
                      <m:sty m:val="bi"/>
                    </m:rPr>
                    <w:rPr>
                      <w:rFonts w:ascii="Cambria Math" w:hAnsi="Cambria Math"/>
                      <w:sz w:val="20"/>
                      <w:szCs w:val="20"/>
                    </w:rPr>
                    <m:t xml:space="preserve">puissance active </m:t>
                  </m:r>
                  <m:sSup>
                    <m:sSupPr>
                      <m:ctrlPr>
                        <w:rPr>
                          <w:rFonts w:ascii="Cambria Math" w:hAnsi="Cambria Math"/>
                          <w:b/>
                          <w:bCs/>
                          <w:i/>
                          <w:sz w:val="20"/>
                          <w:szCs w:val="20"/>
                        </w:rPr>
                      </m:ctrlPr>
                    </m:sSupPr>
                    <m:e>
                      <m:r>
                        <m:rPr>
                          <m:sty m:val="bi"/>
                        </m:rPr>
                        <w:rPr>
                          <w:rFonts w:ascii="Cambria Math" w:hAnsi="Cambria Math"/>
                          <w:sz w:val="20"/>
                          <w:szCs w:val="20"/>
                        </w:rPr>
                        <m:t>d</m:t>
                      </m:r>
                    </m:e>
                    <m:sup>
                      <m:r>
                        <m:rPr>
                          <m:sty m:val="bi"/>
                        </m:rPr>
                        <w:rPr>
                          <w:rFonts w:ascii="Cambria Math" w:hAnsi="Cambria Math"/>
                          <w:sz w:val="20"/>
                          <w:szCs w:val="20"/>
                        </w:rPr>
                        <m:t>'</m:t>
                      </m:r>
                    </m:sup>
                  </m:sSup>
                  <m:r>
                    <m:rPr>
                      <m:sty m:val="bi"/>
                    </m:rPr>
                    <w:rPr>
                      <w:rFonts w:ascii="Cambria Math" w:hAnsi="Cambria Math"/>
                      <w:sz w:val="20"/>
                      <w:szCs w:val="20"/>
                    </w:rPr>
                    <m:t>injection disponible</m:t>
                  </m:r>
                </m:num>
                <m:den>
                  <m:r>
                    <m:rPr>
                      <m:sty m:val="bi"/>
                    </m:rPr>
                    <w:rPr>
                      <w:rFonts w:ascii="Cambria Math" w:hAnsi="Cambria Math"/>
                      <w:sz w:val="20"/>
                      <w:szCs w:val="20"/>
                    </w:rPr>
                    <m:t xml:space="preserve">puissance active </m:t>
                  </m:r>
                  <m:sSup>
                    <m:sSupPr>
                      <m:ctrlPr>
                        <w:rPr>
                          <w:rFonts w:ascii="Cambria Math" w:hAnsi="Cambria Math"/>
                          <w:b/>
                          <w:bCs/>
                          <w:i/>
                          <w:sz w:val="20"/>
                          <w:szCs w:val="20"/>
                        </w:rPr>
                      </m:ctrlPr>
                    </m:sSupPr>
                    <m:e>
                      <m:r>
                        <m:rPr>
                          <m:sty m:val="bi"/>
                        </m:rPr>
                        <w:rPr>
                          <w:rFonts w:ascii="Cambria Math" w:hAnsi="Cambria Math"/>
                          <w:sz w:val="20"/>
                          <w:szCs w:val="20"/>
                        </w:rPr>
                        <m:t>d</m:t>
                      </m:r>
                    </m:e>
                    <m:sup>
                      <m:r>
                        <m:rPr>
                          <m:sty m:val="bi"/>
                        </m:rPr>
                        <w:rPr>
                          <w:rFonts w:ascii="Cambria Math" w:hAnsi="Cambria Math"/>
                          <w:sz w:val="20"/>
                          <w:szCs w:val="20"/>
                        </w:rPr>
                        <m:t>'</m:t>
                      </m:r>
                    </m:sup>
                  </m:sSup>
                  <m:r>
                    <m:rPr>
                      <m:sty m:val="bi"/>
                    </m:rPr>
                    <w:rPr>
                      <w:rFonts w:ascii="Cambria Math" w:hAnsi="Cambria Math"/>
                      <w:sz w:val="20"/>
                      <w:szCs w:val="20"/>
                    </w:rPr>
                    <m:t>injection contractuelle</m:t>
                  </m:r>
                </m:den>
              </m:f>
              <m:r>
                <m:rPr>
                  <m:sty m:val="bi"/>
                </m:rPr>
                <w:rPr>
                  <w:rFonts w:ascii="Cambria Math" w:hAnsi="Cambria Math"/>
                  <w:sz w:val="20"/>
                  <w:szCs w:val="20"/>
                </w:rPr>
                <m:t>,</m:t>
              </m:r>
              <m:f>
                <m:fPr>
                  <m:ctrlPr>
                    <w:rPr>
                      <w:rFonts w:ascii="Cambria Math" w:hAnsi="Cambria Math"/>
                      <w:b/>
                      <w:bCs/>
                      <w:i/>
                      <w:sz w:val="20"/>
                      <w:szCs w:val="20"/>
                    </w:rPr>
                  </m:ctrlPr>
                </m:fPr>
                <m:num>
                  <m:r>
                    <m:rPr>
                      <m:sty m:val="bi"/>
                    </m:rPr>
                    <w:rPr>
                      <w:rFonts w:ascii="Cambria Math" w:hAnsi="Cambria Math"/>
                      <w:sz w:val="20"/>
                      <w:szCs w:val="20"/>
                    </w:rPr>
                    <m:t xml:space="preserve">puissance active </m:t>
                  </m:r>
                  <m:sSup>
                    <m:sSupPr>
                      <m:ctrlPr>
                        <w:rPr>
                          <w:rFonts w:ascii="Cambria Math" w:hAnsi="Cambria Math"/>
                          <w:b/>
                          <w:bCs/>
                          <w:i/>
                          <w:sz w:val="20"/>
                          <w:szCs w:val="20"/>
                        </w:rPr>
                      </m:ctrlPr>
                    </m:sSupPr>
                    <m:e>
                      <m:r>
                        <m:rPr>
                          <m:sty m:val="bi"/>
                        </m:rPr>
                        <w:rPr>
                          <w:rFonts w:ascii="Cambria Math" w:hAnsi="Cambria Math"/>
                          <w:sz w:val="20"/>
                          <w:szCs w:val="20"/>
                        </w:rPr>
                        <m:t>d</m:t>
                      </m:r>
                    </m:e>
                    <m:sup>
                      <m:r>
                        <m:rPr>
                          <m:sty m:val="bi"/>
                        </m:rPr>
                        <w:rPr>
                          <w:rFonts w:ascii="Cambria Math" w:hAnsi="Cambria Math"/>
                          <w:sz w:val="20"/>
                          <w:szCs w:val="20"/>
                        </w:rPr>
                        <m:t>'</m:t>
                      </m:r>
                    </m:sup>
                  </m:sSup>
                  <m:r>
                    <m:rPr>
                      <m:sty m:val="bi"/>
                    </m:rPr>
                    <w:rPr>
                      <w:rFonts w:ascii="Cambria Math" w:hAnsi="Cambria Math"/>
                      <w:sz w:val="20"/>
                      <w:szCs w:val="20"/>
                    </w:rPr>
                    <m:t>absorption disponible</m:t>
                  </m:r>
                </m:num>
                <m:den>
                  <m:r>
                    <m:rPr>
                      <m:sty m:val="bi"/>
                    </m:rPr>
                    <w:rPr>
                      <w:rFonts w:ascii="Cambria Math" w:hAnsi="Cambria Math"/>
                      <w:sz w:val="20"/>
                      <w:szCs w:val="20"/>
                    </w:rPr>
                    <m:t xml:space="preserve">puissance active </m:t>
                  </m:r>
                  <m:sSup>
                    <m:sSupPr>
                      <m:ctrlPr>
                        <w:rPr>
                          <w:rFonts w:ascii="Cambria Math" w:hAnsi="Cambria Math"/>
                          <w:b/>
                          <w:bCs/>
                          <w:i/>
                          <w:sz w:val="20"/>
                          <w:szCs w:val="20"/>
                        </w:rPr>
                      </m:ctrlPr>
                    </m:sSupPr>
                    <m:e>
                      <m:r>
                        <m:rPr>
                          <m:sty m:val="bi"/>
                        </m:rPr>
                        <w:rPr>
                          <w:rFonts w:ascii="Cambria Math" w:hAnsi="Cambria Math"/>
                          <w:sz w:val="20"/>
                          <w:szCs w:val="20"/>
                        </w:rPr>
                        <m:t>d</m:t>
                      </m:r>
                    </m:e>
                    <m:sup>
                      <m:r>
                        <m:rPr>
                          <m:sty m:val="bi"/>
                        </m:rPr>
                        <w:rPr>
                          <w:rFonts w:ascii="Cambria Math" w:hAnsi="Cambria Math"/>
                          <w:sz w:val="20"/>
                          <w:szCs w:val="20"/>
                        </w:rPr>
                        <m:t>'</m:t>
                      </m:r>
                    </m:sup>
                  </m:sSup>
                  <m:r>
                    <m:rPr>
                      <m:sty m:val="bi"/>
                    </m:rPr>
                    <w:rPr>
                      <w:rFonts w:ascii="Cambria Math" w:hAnsi="Cambria Math"/>
                      <w:sz w:val="20"/>
                      <w:szCs w:val="20"/>
                    </w:rPr>
                    <m:t>absorption contractuelle</m:t>
                  </m:r>
                </m:den>
              </m:f>
            </m:e>
          </m:d>
        </m:oMath>
      </m:oMathPara>
    </w:p>
    <w:p w14:paraId="25C83AB8" w14:textId="77777777" w:rsidR="00412BF0" w:rsidRDefault="00412BF0" w:rsidP="001274A3">
      <w:pPr>
        <w:widowControl w:val="0"/>
        <w:tabs>
          <w:tab w:val="left" w:pos="12333"/>
        </w:tabs>
        <w:autoSpaceDE w:val="0"/>
        <w:autoSpaceDN w:val="0"/>
        <w:adjustRightInd w:val="0"/>
        <w:spacing w:before="29"/>
        <w:ind w:right="48"/>
        <w:jc w:val="both"/>
      </w:pPr>
    </w:p>
    <w:p w14:paraId="1CE14BE2" w14:textId="0C147831" w:rsidR="00412BF0" w:rsidRPr="000243CB" w:rsidRDefault="00412BF0" w:rsidP="00412BF0">
      <w:pPr>
        <w:widowControl w:val="0"/>
        <w:tabs>
          <w:tab w:val="left" w:pos="12333"/>
        </w:tabs>
        <w:autoSpaceDE w:val="0"/>
        <w:autoSpaceDN w:val="0"/>
        <w:adjustRightInd w:val="0"/>
        <w:spacing w:before="29"/>
        <w:ind w:right="48"/>
        <w:jc w:val="both"/>
        <w:rPr>
          <w:b/>
          <w:bCs/>
          <w:sz w:val="20"/>
          <w:szCs w:val="20"/>
        </w:rPr>
      </w:pPr>
      <m:oMathPara>
        <m:oMathParaPr>
          <m:jc m:val="center"/>
        </m:oMathParaPr>
        <m:oMath>
          <m:r>
            <m:rPr>
              <m:sty m:val="bi"/>
            </m:rPr>
            <w:rPr>
              <w:rFonts w:ascii="Cambria Math" w:hAnsi="Cambria Math"/>
              <w:sz w:val="20"/>
              <w:szCs w:val="20"/>
            </w:rPr>
            <m:t>disponibilité puissance réactive=</m:t>
          </m:r>
          <m:r>
            <m:rPr>
              <m:sty m:val="p"/>
            </m:rPr>
            <w:rPr>
              <w:rFonts w:ascii="Cambria Math" w:hAnsi="Cambria Math"/>
              <w:sz w:val="20"/>
              <w:szCs w:val="20"/>
            </w:rPr>
            <w:br/>
          </m:r>
        </m:oMath>
        <m:oMath>
          <m:r>
            <m:rPr>
              <m:sty m:val="bi"/>
            </m:rPr>
            <w:rPr>
              <w:rFonts w:ascii="Cambria Math" w:hAnsi="Cambria Math"/>
              <w:sz w:val="20"/>
              <w:szCs w:val="20"/>
            </w:rPr>
            <m:t>minimum</m:t>
          </m:r>
          <m:d>
            <m:dPr>
              <m:ctrlPr>
                <w:rPr>
                  <w:rFonts w:ascii="Cambria Math" w:hAnsi="Cambria Math"/>
                  <w:b/>
                  <w:bCs/>
                  <w:i/>
                  <w:sz w:val="20"/>
                  <w:szCs w:val="20"/>
                </w:rPr>
              </m:ctrlPr>
            </m:dPr>
            <m:e>
              <m:f>
                <m:fPr>
                  <m:ctrlPr>
                    <w:rPr>
                      <w:rFonts w:ascii="Cambria Math" w:hAnsi="Cambria Math"/>
                      <w:b/>
                      <w:bCs/>
                      <w:i/>
                      <w:sz w:val="20"/>
                      <w:szCs w:val="20"/>
                    </w:rPr>
                  </m:ctrlPr>
                </m:fPr>
                <m:num>
                  <m:r>
                    <m:rPr>
                      <m:sty m:val="bi"/>
                    </m:rPr>
                    <w:rPr>
                      <w:rFonts w:ascii="Cambria Math" w:hAnsi="Cambria Math"/>
                      <w:sz w:val="20"/>
                      <w:szCs w:val="20"/>
                    </w:rPr>
                    <m:t xml:space="preserve">puissance réactive </m:t>
                  </m:r>
                  <m:sSup>
                    <m:sSupPr>
                      <m:ctrlPr>
                        <w:rPr>
                          <w:rFonts w:ascii="Cambria Math" w:hAnsi="Cambria Math"/>
                          <w:b/>
                          <w:bCs/>
                          <w:i/>
                          <w:sz w:val="20"/>
                          <w:szCs w:val="20"/>
                        </w:rPr>
                      </m:ctrlPr>
                    </m:sSupPr>
                    <m:e>
                      <m:r>
                        <m:rPr>
                          <m:sty m:val="bi"/>
                        </m:rPr>
                        <w:rPr>
                          <w:rFonts w:ascii="Cambria Math" w:hAnsi="Cambria Math"/>
                          <w:sz w:val="20"/>
                          <w:szCs w:val="20"/>
                        </w:rPr>
                        <m:t>d</m:t>
                      </m:r>
                    </m:e>
                    <m:sup>
                      <m:r>
                        <m:rPr>
                          <m:sty m:val="bi"/>
                        </m:rPr>
                        <w:rPr>
                          <w:rFonts w:ascii="Cambria Math" w:hAnsi="Cambria Math"/>
                          <w:sz w:val="20"/>
                          <w:szCs w:val="20"/>
                        </w:rPr>
                        <m:t>'</m:t>
                      </m:r>
                    </m:sup>
                  </m:sSup>
                  <m:r>
                    <m:rPr>
                      <m:sty m:val="bi"/>
                    </m:rPr>
                    <w:rPr>
                      <w:rFonts w:ascii="Cambria Math" w:hAnsi="Cambria Math"/>
                      <w:sz w:val="20"/>
                      <w:szCs w:val="20"/>
                    </w:rPr>
                    <m:t>injection disponible</m:t>
                  </m:r>
                </m:num>
                <m:den>
                  <m:r>
                    <m:rPr>
                      <m:sty m:val="bi"/>
                    </m:rPr>
                    <w:rPr>
                      <w:rFonts w:ascii="Cambria Math" w:hAnsi="Cambria Math"/>
                      <w:sz w:val="20"/>
                      <w:szCs w:val="20"/>
                    </w:rPr>
                    <m:t xml:space="preserve">puissance réactive </m:t>
                  </m:r>
                  <m:sSup>
                    <m:sSupPr>
                      <m:ctrlPr>
                        <w:rPr>
                          <w:rFonts w:ascii="Cambria Math" w:hAnsi="Cambria Math"/>
                          <w:b/>
                          <w:bCs/>
                          <w:i/>
                          <w:sz w:val="20"/>
                          <w:szCs w:val="20"/>
                        </w:rPr>
                      </m:ctrlPr>
                    </m:sSupPr>
                    <m:e>
                      <m:r>
                        <m:rPr>
                          <m:sty m:val="bi"/>
                        </m:rPr>
                        <w:rPr>
                          <w:rFonts w:ascii="Cambria Math" w:hAnsi="Cambria Math"/>
                          <w:sz w:val="20"/>
                          <w:szCs w:val="20"/>
                        </w:rPr>
                        <m:t>d</m:t>
                      </m:r>
                    </m:e>
                    <m:sup>
                      <m:r>
                        <m:rPr>
                          <m:sty m:val="bi"/>
                        </m:rPr>
                        <w:rPr>
                          <w:rFonts w:ascii="Cambria Math" w:hAnsi="Cambria Math"/>
                          <w:sz w:val="20"/>
                          <w:szCs w:val="20"/>
                        </w:rPr>
                        <m:t>'</m:t>
                      </m:r>
                    </m:sup>
                  </m:sSup>
                  <m:r>
                    <m:rPr>
                      <m:sty m:val="bi"/>
                    </m:rPr>
                    <w:rPr>
                      <w:rFonts w:ascii="Cambria Math" w:hAnsi="Cambria Math"/>
                      <w:sz w:val="20"/>
                      <w:szCs w:val="20"/>
                    </w:rPr>
                    <m:t>injection contractuelle</m:t>
                  </m:r>
                </m:den>
              </m:f>
              <m:r>
                <m:rPr>
                  <m:sty m:val="bi"/>
                </m:rPr>
                <w:rPr>
                  <w:rFonts w:ascii="Cambria Math" w:hAnsi="Cambria Math"/>
                  <w:sz w:val="20"/>
                  <w:szCs w:val="20"/>
                </w:rPr>
                <m:t>,</m:t>
              </m:r>
              <m:f>
                <m:fPr>
                  <m:ctrlPr>
                    <w:rPr>
                      <w:rFonts w:ascii="Cambria Math" w:hAnsi="Cambria Math"/>
                      <w:b/>
                      <w:bCs/>
                      <w:i/>
                      <w:sz w:val="20"/>
                      <w:szCs w:val="20"/>
                    </w:rPr>
                  </m:ctrlPr>
                </m:fPr>
                <m:num>
                  <m:r>
                    <m:rPr>
                      <m:sty m:val="bi"/>
                    </m:rPr>
                    <w:rPr>
                      <w:rFonts w:ascii="Cambria Math" w:hAnsi="Cambria Math"/>
                      <w:sz w:val="20"/>
                      <w:szCs w:val="20"/>
                    </w:rPr>
                    <m:t xml:space="preserve">puissance réactive </m:t>
                  </m:r>
                  <m:sSup>
                    <m:sSupPr>
                      <m:ctrlPr>
                        <w:rPr>
                          <w:rFonts w:ascii="Cambria Math" w:hAnsi="Cambria Math"/>
                          <w:b/>
                          <w:bCs/>
                          <w:i/>
                          <w:sz w:val="20"/>
                          <w:szCs w:val="20"/>
                        </w:rPr>
                      </m:ctrlPr>
                    </m:sSupPr>
                    <m:e>
                      <m:r>
                        <m:rPr>
                          <m:sty m:val="bi"/>
                        </m:rPr>
                        <w:rPr>
                          <w:rFonts w:ascii="Cambria Math" w:hAnsi="Cambria Math"/>
                          <w:sz w:val="20"/>
                          <w:szCs w:val="20"/>
                        </w:rPr>
                        <m:t>d</m:t>
                      </m:r>
                    </m:e>
                    <m:sup>
                      <m:r>
                        <m:rPr>
                          <m:sty m:val="bi"/>
                        </m:rPr>
                        <w:rPr>
                          <w:rFonts w:ascii="Cambria Math" w:hAnsi="Cambria Math"/>
                          <w:sz w:val="20"/>
                          <w:szCs w:val="20"/>
                        </w:rPr>
                        <m:t>'</m:t>
                      </m:r>
                    </m:sup>
                  </m:sSup>
                  <m:r>
                    <m:rPr>
                      <m:sty m:val="bi"/>
                    </m:rPr>
                    <w:rPr>
                      <w:rFonts w:ascii="Cambria Math" w:hAnsi="Cambria Math"/>
                      <w:sz w:val="20"/>
                      <w:szCs w:val="20"/>
                    </w:rPr>
                    <m:t>absorption disponible</m:t>
                  </m:r>
                </m:num>
                <m:den>
                  <m:r>
                    <m:rPr>
                      <m:sty m:val="bi"/>
                    </m:rPr>
                    <w:rPr>
                      <w:rFonts w:ascii="Cambria Math" w:hAnsi="Cambria Math"/>
                      <w:sz w:val="20"/>
                      <w:szCs w:val="20"/>
                    </w:rPr>
                    <m:t xml:space="preserve">puissance réactive </m:t>
                  </m:r>
                  <m:sSup>
                    <m:sSupPr>
                      <m:ctrlPr>
                        <w:rPr>
                          <w:rFonts w:ascii="Cambria Math" w:hAnsi="Cambria Math"/>
                          <w:b/>
                          <w:bCs/>
                          <w:i/>
                          <w:sz w:val="20"/>
                          <w:szCs w:val="20"/>
                        </w:rPr>
                      </m:ctrlPr>
                    </m:sSupPr>
                    <m:e>
                      <m:r>
                        <m:rPr>
                          <m:sty m:val="bi"/>
                        </m:rPr>
                        <w:rPr>
                          <w:rFonts w:ascii="Cambria Math" w:hAnsi="Cambria Math"/>
                          <w:sz w:val="20"/>
                          <w:szCs w:val="20"/>
                        </w:rPr>
                        <m:t>d</m:t>
                      </m:r>
                    </m:e>
                    <m:sup>
                      <m:r>
                        <m:rPr>
                          <m:sty m:val="bi"/>
                        </m:rPr>
                        <w:rPr>
                          <w:rFonts w:ascii="Cambria Math" w:hAnsi="Cambria Math"/>
                          <w:sz w:val="20"/>
                          <w:szCs w:val="20"/>
                        </w:rPr>
                        <m:t>'</m:t>
                      </m:r>
                    </m:sup>
                  </m:sSup>
                  <m:r>
                    <m:rPr>
                      <m:sty m:val="bi"/>
                    </m:rPr>
                    <w:rPr>
                      <w:rFonts w:ascii="Cambria Math" w:hAnsi="Cambria Math"/>
                      <w:sz w:val="20"/>
                      <w:szCs w:val="20"/>
                    </w:rPr>
                    <m:t>absorption contractuelle</m:t>
                  </m:r>
                </m:den>
              </m:f>
            </m:e>
          </m:d>
        </m:oMath>
      </m:oMathPara>
    </w:p>
    <w:p w14:paraId="670DF0F1" w14:textId="77777777" w:rsidR="00412BF0" w:rsidRDefault="00412BF0" w:rsidP="001274A3">
      <w:pPr>
        <w:widowControl w:val="0"/>
        <w:tabs>
          <w:tab w:val="left" w:pos="12333"/>
        </w:tabs>
        <w:autoSpaceDE w:val="0"/>
        <w:autoSpaceDN w:val="0"/>
        <w:adjustRightInd w:val="0"/>
        <w:spacing w:before="29"/>
        <w:ind w:right="48"/>
        <w:jc w:val="both"/>
      </w:pPr>
    </w:p>
    <w:p w14:paraId="22D0CC75" w14:textId="6EB9CDE4" w:rsidR="002811F9" w:rsidRPr="00A60F2C" w:rsidRDefault="002811F9" w:rsidP="002811F9">
      <w:pPr>
        <w:widowControl w:val="0"/>
        <w:tabs>
          <w:tab w:val="left" w:pos="12333"/>
        </w:tabs>
        <w:autoSpaceDE w:val="0"/>
        <w:autoSpaceDN w:val="0"/>
        <w:adjustRightInd w:val="0"/>
        <w:spacing w:before="29"/>
        <w:ind w:right="48"/>
        <w:jc w:val="both"/>
        <w:rPr>
          <w:b/>
          <w:sz w:val="20"/>
          <w:szCs w:val="20"/>
        </w:rPr>
      </w:pPr>
      <m:oMathPara>
        <m:oMath>
          <m:r>
            <m:rPr>
              <m:sty m:val="b"/>
            </m:rPr>
            <w:rPr>
              <w:rFonts w:ascii="Cambria Math" w:hAnsi="Cambria Math"/>
              <w:sz w:val="20"/>
              <w:szCs w:val="20"/>
            </w:rPr>
            <m:t>disponibilité ICC=</m:t>
          </m:r>
          <m:f>
            <m:fPr>
              <m:ctrlPr>
                <w:rPr>
                  <w:rFonts w:ascii="Cambria Math" w:hAnsi="Cambria Math"/>
                  <w:b/>
                  <w:sz w:val="20"/>
                  <w:szCs w:val="20"/>
                </w:rPr>
              </m:ctrlPr>
            </m:fPr>
            <m:num>
              <m:r>
                <m:rPr>
                  <m:sty m:val="bi"/>
                </m:rPr>
                <w:rPr>
                  <w:rFonts w:ascii="Cambria Math" w:hAnsi="Cambria Math"/>
                  <w:sz w:val="20"/>
                  <w:szCs w:val="20"/>
                </w:rPr>
                <m:t>ICC en in</m:t>
              </m:r>
              <m:r>
                <m:rPr>
                  <m:sty m:val="bi"/>
                </m:rPr>
                <w:rPr>
                  <w:rFonts w:ascii="Cambria Math" w:hAnsi="Cambria Math"/>
                  <w:sz w:val="20"/>
                  <w:szCs w:val="20"/>
                </w:rPr>
                <m:t xml:space="preserve">jection disponible </m:t>
              </m:r>
              <m:ctrlPr>
                <w:rPr>
                  <w:rFonts w:ascii="Cambria Math" w:hAnsi="Cambria Math"/>
                  <w:i/>
                  <w:sz w:val="20"/>
                  <w:szCs w:val="20"/>
                </w:rPr>
              </m:ctrlPr>
            </m:num>
            <m:den>
              <m:r>
                <m:rPr>
                  <m:sty m:val="bi"/>
                </m:rPr>
                <w:rPr>
                  <w:rFonts w:ascii="Cambria Math" w:hAnsi="Cambria Math"/>
                  <w:sz w:val="20"/>
                  <w:szCs w:val="20"/>
                </w:rPr>
                <m:t>ICC en injection contractuel</m:t>
              </m:r>
            </m:den>
          </m:f>
        </m:oMath>
      </m:oMathPara>
    </w:p>
    <w:p w14:paraId="6515197D" w14:textId="0352E157" w:rsidR="002213B2" w:rsidRDefault="002213B2" w:rsidP="0050017F">
      <w:pPr>
        <w:widowControl w:val="0"/>
        <w:tabs>
          <w:tab w:val="left" w:pos="12333"/>
        </w:tabs>
        <w:autoSpaceDE w:val="0"/>
        <w:autoSpaceDN w:val="0"/>
        <w:adjustRightInd w:val="0"/>
        <w:spacing w:before="29"/>
        <w:ind w:right="48"/>
        <w:jc w:val="both"/>
      </w:pPr>
    </w:p>
    <w:tbl>
      <w:tblPr>
        <w:tblStyle w:val="Grilledutableau"/>
        <w:tblW w:w="0" w:type="auto"/>
        <w:jc w:val="center"/>
        <w:tblLook w:val="04A0" w:firstRow="1" w:lastRow="0" w:firstColumn="1" w:lastColumn="0" w:noHBand="0" w:noVBand="1"/>
      </w:tblPr>
      <w:tblGrid>
        <w:gridCol w:w="4785"/>
        <w:gridCol w:w="5183"/>
      </w:tblGrid>
      <w:tr w:rsidR="002213B2" w:rsidRPr="00DA2F93" w14:paraId="47D22BC4" w14:textId="77777777" w:rsidTr="000243CB">
        <w:trPr>
          <w:jc w:val="center"/>
        </w:trPr>
        <w:tc>
          <w:tcPr>
            <w:tcW w:w="4785" w:type="dxa"/>
            <w:vAlign w:val="center"/>
          </w:tcPr>
          <w:p w14:paraId="6DD8A9A2" w14:textId="77777777" w:rsidR="002213B2" w:rsidRPr="00DA2F93" w:rsidRDefault="002213B2" w:rsidP="000243CB">
            <w:pPr>
              <w:pStyle w:val="corpsdetexte0"/>
              <w:jc w:val="center"/>
              <w:rPr>
                <w:rFonts w:ascii="Arial" w:hAnsi="Arial"/>
                <w:b/>
                <w:sz w:val="22"/>
                <w:szCs w:val="22"/>
              </w:rPr>
            </w:pPr>
            <w:r w:rsidRPr="00DA2F93">
              <w:rPr>
                <w:rFonts w:ascii="Arial" w:hAnsi="Arial"/>
                <w:b/>
                <w:sz w:val="22"/>
                <w:szCs w:val="22"/>
              </w:rPr>
              <w:t>Sigle</w:t>
            </w:r>
          </w:p>
        </w:tc>
        <w:tc>
          <w:tcPr>
            <w:tcW w:w="5183" w:type="dxa"/>
            <w:vAlign w:val="center"/>
          </w:tcPr>
          <w:p w14:paraId="2BF096B3" w14:textId="77777777" w:rsidR="002213B2" w:rsidRPr="00DA2F93" w:rsidRDefault="002213B2" w:rsidP="000243CB">
            <w:pPr>
              <w:pStyle w:val="corpsdetexte0"/>
              <w:jc w:val="center"/>
              <w:rPr>
                <w:rFonts w:ascii="Arial" w:hAnsi="Arial"/>
                <w:b/>
                <w:sz w:val="22"/>
                <w:szCs w:val="22"/>
              </w:rPr>
            </w:pPr>
            <w:r w:rsidRPr="00DA2F93">
              <w:rPr>
                <w:rFonts w:ascii="Arial" w:hAnsi="Arial"/>
                <w:b/>
                <w:sz w:val="22"/>
                <w:szCs w:val="22"/>
              </w:rPr>
              <w:t>Définition</w:t>
            </w:r>
          </w:p>
        </w:tc>
      </w:tr>
      <w:tr w:rsidR="002213B2" w:rsidRPr="00DA2F93" w14:paraId="5353445E" w14:textId="77777777" w:rsidTr="000243CB">
        <w:trPr>
          <w:jc w:val="center"/>
        </w:trPr>
        <w:tc>
          <w:tcPr>
            <w:tcW w:w="4785" w:type="dxa"/>
            <w:vAlign w:val="center"/>
          </w:tcPr>
          <w:p w14:paraId="64E5D6C4" w14:textId="3D544DAE" w:rsidR="002213B2" w:rsidRPr="00DA2F93" w:rsidRDefault="00827652" w:rsidP="000243CB">
            <w:pPr>
              <w:pStyle w:val="corpsdetexte0"/>
              <w:jc w:val="center"/>
              <w:rPr>
                <w:rFonts w:ascii="Arial" w:hAnsi="Arial"/>
                <w:color w:val="000000" w:themeColor="text1"/>
                <w:sz w:val="22"/>
                <w:szCs w:val="22"/>
              </w:rPr>
            </w:pPr>
            <m:oMathPara>
              <m:oMath>
                <m:r>
                  <m:rPr>
                    <m:sty m:val="bi"/>
                  </m:rPr>
                  <w:rPr>
                    <w:rFonts w:ascii="Cambria Math" w:hAnsi="Cambria Math"/>
                  </w:rPr>
                  <m:t>énergie déchargeable disponible</m:t>
                </m:r>
              </m:oMath>
            </m:oMathPara>
          </w:p>
        </w:tc>
        <w:tc>
          <w:tcPr>
            <w:tcW w:w="5183" w:type="dxa"/>
            <w:vAlign w:val="center"/>
          </w:tcPr>
          <w:p w14:paraId="606D11DD" w14:textId="684B936F" w:rsidR="002213B2" w:rsidRPr="001E4AE7" w:rsidRDefault="00827652" w:rsidP="000243CB">
            <w:pPr>
              <w:spacing w:before="0" w:after="0" w:line="360" w:lineRule="auto"/>
              <w:jc w:val="both"/>
              <w:rPr>
                <w:color w:val="000000" w:themeColor="text1"/>
              </w:rPr>
            </w:pPr>
            <w:r w:rsidRPr="000243CB">
              <w:rPr>
                <w:sz w:val="20"/>
                <w:szCs w:val="20"/>
              </w:rPr>
              <w:t>La valeur minimale sur l’heure considérée de l’énergie déchargeable par le Client à puissance active d'injection contractuelle lorsque l’Installation est pleinement chargée</w:t>
            </w:r>
          </w:p>
        </w:tc>
      </w:tr>
      <w:tr w:rsidR="002213B2" w:rsidRPr="00DA2F93" w14:paraId="01934E1C" w14:textId="77777777" w:rsidTr="000243CB">
        <w:trPr>
          <w:jc w:val="center"/>
        </w:trPr>
        <w:tc>
          <w:tcPr>
            <w:tcW w:w="4785" w:type="dxa"/>
            <w:vAlign w:val="center"/>
          </w:tcPr>
          <w:p w14:paraId="3B9EE099" w14:textId="55A076AB" w:rsidR="002213B2" w:rsidRPr="00DA2F93" w:rsidRDefault="00900A95" w:rsidP="000243CB">
            <w:pPr>
              <w:pStyle w:val="corpsdetexte0"/>
              <w:jc w:val="center"/>
              <w:rPr>
                <w:rFonts w:ascii="Arial" w:hAnsi="Arial"/>
                <w:color w:val="000000" w:themeColor="text1"/>
                <w:sz w:val="22"/>
                <w:szCs w:val="22"/>
              </w:rPr>
            </w:pPr>
            <m:oMathPara>
              <m:oMath>
                <m:r>
                  <m:rPr>
                    <m:sty m:val="bi"/>
                  </m:rPr>
                  <w:rPr>
                    <w:rFonts w:ascii="Cambria Math" w:hAnsi="Cambria Math"/>
                  </w:rPr>
                  <m:t>énergie déchargeable contractuelle</m:t>
                </m:r>
              </m:oMath>
            </m:oMathPara>
          </w:p>
        </w:tc>
        <w:tc>
          <w:tcPr>
            <w:tcW w:w="5183" w:type="dxa"/>
            <w:vAlign w:val="center"/>
          </w:tcPr>
          <w:p w14:paraId="591B2625" w14:textId="2AD278DB" w:rsidR="002213B2" w:rsidRPr="000243CB" w:rsidRDefault="00900A95" w:rsidP="000243CB">
            <w:pPr>
              <w:spacing w:before="0" w:after="0" w:line="360" w:lineRule="auto"/>
              <w:jc w:val="both"/>
              <w:rPr>
                <w:sz w:val="20"/>
                <w:szCs w:val="20"/>
              </w:rPr>
            </w:pPr>
            <w:r w:rsidRPr="000243CB">
              <w:rPr>
                <w:sz w:val="20"/>
                <w:szCs w:val="20"/>
              </w:rPr>
              <w:t>L’énergie déchargeable contractuelle à puissance active d'injection contractuelle</w:t>
            </w:r>
            <w:r w:rsidR="005149C0">
              <w:rPr>
                <w:sz w:val="20"/>
                <w:szCs w:val="20"/>
              </w:rPr>
              <w:t xml:space="preserve"> définie dans la Fiche de Recueil des Performances</w:t>
            </w:r>
          </w:p>
        </w:tc>
      </w:tr>
      <w:tr w:rsidR="002213B2" w:rsidRPr="00DA2F93" w14:paraId="6D755D62" w14:textId="77777777" w:rsidTr="000243CB">
        <w:trPr>
          <w:jc w:val="center"/>
        </w:trPr>
        <w:tc>
          <w:tcPr>
            <w:tcW w:w="4785" w:type="dxa"/>
            <w:vAlign w:val="center"/>
          </w:tcPr>
          <w:p w14:paraId="1F2DB01A" w14:textId="1E97415A" w:rsidR="002213B2" w:rsidRPr="00DA2F93" w:rsidRDefault="00E90072" w:rsidP="000243CB">
            <w:pPr>
              <w:pStyle w:val="corpsdetexte0"/>
              <w:jc w:val="center"/>
              <w:rPr>
                <w:rFonts w:ascii="Arial" w:hAnsi="Arial"/>
                <w:color w:val="000000" w:themeColor="text1"/>
                <w:sz w:val="22"/>
                <w:szCs w:val="22"/>
              </w:rPr>
            </w:pPr>
            <m:oMathPara>
              <m:oMath>
                <m:r>
                  <m:rPr>
                    <m:sty m:val="bi"/>
                  </m:rPr>
                  <w:rPr>
                    <w:rFonts w:ascii="Cambria Math" w:hAnsi="Cambria Math"/>
                  </w:rPr>
                  <m:t xml:space="preserve">puissance active </m:t>
                </m:r>
                <m:sSup>
                  <m:sSupPr>
                    <m:ctrlPr>
                      <w:rPr>
                        <w:rFonts w:ascii="Cambria Math" w:hAnsi="Cambria Math"/>
                        <w:b/>
                        <w:bCs/>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injection disponible</m:t>
                </m:r>
              </m:oMath>
            </m:oMathPara>
          </w:p>
        </w:tc>
        <w:tc>
          <w:tcPr>
            <w:tcW w:w="5183" w:type="dxa"/>
            <w:vAlign w:val="center"/>
          </w:tcPr>
          <w:p w14:paraId="36C98EBB" w14:textId="4F239C42" w:rsidR="002213B2" w:rsidRPr="000243CB" w:rsidRDefault="005C1CD9" w:rsidP="000243CB">
            <w:pPr>
              <w:spacing w:before="0" w:after="0" w:line="360" w:lineRule="auto"/>
              <w:jc w:val="both"/>
              <w:rPr>
                <w:sz w:val="20"/>
                <w:szCs w:val="20"/>
              </w:rPr>
            </w:pPr>
            <w:r w:rsidRPr="000243CB">
              <w:rPr>
                <w:sz w:val="20"/>
                <w:szCs w:val="20"/>
              </w:rPr>
              <w:t>La valeur minimale sur l’heure considérée de la puissance active maximale en injection utilisable par le client</w:t>
            </w:r>
          </w:p>
        </w:tc>
      </w:tr>
      <w:tr w:rsidR="002213B2" w:rsidRPr="00DA2F93" w14:paraId="6F07C943" w14:textId="77777777" w:rsidTr="000243CB">
        <w:trPr>
          <w:jc w:val="center"/>
        </w:trPr>
        <w:tc>
          <w:tcPr>
            <w:tcW w:w="4785" w:type="dxa"/>
            <w:vAlign w:val="center"/>
          </w:tcPr>
          <w:p w14:paraId="4A8C58A9" w14:textId="69130B74" w:rsidR="002213B2" w:rsidRPr="00DA2F93" w:rsidRDefault="00E90072" w:rsidP="000243CB">
            <w:pPr>
              <w:pStyle w:val="corpsdetexte0"/>
              <w:jc w:val="center"/>
              <w:rPr>
                <w:rFonts w:ascii="Arial" w:hAnsi="Arial"/>
                <w:color w:val="000000" w:themeColor="text1"/>
                <w:sz w:val="22"/>
                <w:szCs w:val="22"/>
              </w:rPr>
            </w:pPr>
            <m:oMathPara>
              <m:oMath>
                <m:r>
                  <m:rPr>
                    <m:sty m:val="bi"/>
                  </m:rPr>
                  <w:rPr>
                    <w:rFonts w:ascii="Cambria Math" w:hAnsi="Cambria Math"/>
                  </w:rPr>
                  <m:t xml:space="preserve">puissance active </m:t>
                </m:r>
                <m:sSup>
                  <m:sSupPr>
                    <m:ctrlPr>
                      <w:rPr>
                        <w:rFonts w:ascii="Cambria Math" w:hAnsi="Cambria Math"/>
                        <w:b/>
                        <w:bCs/>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injection contractuelle</m:t>
                </m:r>
              </m:oMath>
            </m:oMathPara>
          </w:p>
        </w:tc>
        <w:tc>
          <w:tcPr>
            <w:tcW w:w="5183" w:type="dxa"/>
            <w:vAlign w:val="center"/>
          </w:tcPr>
          <w:p w14:paraId="05322024" w14:textId="259C0BEE" w:rsidR="002213B2" w:rsidRPr="000243CB" w:rsidRDefault="005C1CD9" w:rsidP="000243CB">
            <w:pPr>
              <w:spacing w:before="0" w:after="0" w:line="360" w:lineRule="auto"/>
              <w:jc w:val="both"/>
              <w:rPr>
                <w:sz w:val="20"/>
                <w:szCs w:val="20"/>
              </w:rPr>
            </w:pPr>
            <w:r w:rsidRPr="000243CB">
              <w:rPr>
                <w:sz w:val="20"/>
                <w:szCs w:val="20"/>
              </w:rPr>
              <w:t>la puissance active contractuelle en injection</w:t>
            </w:r>
            <w:r w:rsidR="005149C0">
              <w:rPr>
                <w:sz w:val="20"/>
                <w:szCs w:val="20"/>
              </w:rPr>
              <w:t xml:space="preserve"> définie dans la Fiche de Recueil des Performances</w:t>
            </w:r>
          </w:p>
        </w:tc>
      </w:tr>
      <w:tr w:rsidR="002213B2" w:rsidRPr="00DA2F93" w14:paraId="65EEB0CD" w14:textId="77777777" w:rsidTr="000243CB">
        <w:trPr>
          <w:jc w:val="center"/>
        </w:trPr>
        <w:tc>
          <w:tcPr>
            <w:tcW w:w="4785" w:type="dxa"/>
            <w:vAlign w:val="center"/>
          </w:tcPr>
          <w:p w14:paraId="2E098376" w14:textId="7139A511" w:rsidR="002213B2" w:rsidRPr="00DA2F93" w:rsidRDefault="00E90072" w:rsidP="000243CB">
            <w:pPr>
              <w:pStyle w:val="corpsdetexte0"/>
              <w:jc w:val="center"/>
              <w:rPr>
                <w:rFonts w:ascii="Arial" w:hAnsi="Arial"/>
                <w:color w:val="000000" w:themeColor="text1"/>
                <w:sz w:val="22"/>
                <w:szCs w:val="22"/>
              </w:rPr>
            </w:pPr>
            <m:oMathPara>
              <m:oMath>
                <m:r>
                  <m:rPr>
                    <m:sty m:val="bi"/>
                  </m:rPr>
                  <w:rPr>
                    <w:rFonts w:ascii="Cambria Math" w:hAnsi="Cambria Math"/>
                  </w:rPr>
                  <m:t xml:space="preserve">puissance active </m:t>
                </m:r>
                <m:sSup>
                  <m:sSupPr>
                    <m:ctrlPr>
                      <w:rPr>
                        <w:rFonts w:ascii="Cambria Math" w:hAnsi="Cambria Math"/>
                        <w:b/>
                        <w:bCs/>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absorption disponible</m:t>
                </m:r>
              </m:oMath>
            </m:oMathPara>
          </w:p>
        </w:tc>
        <w:tc>
          <w:tcPr>
            <w:tcW w:w="5183" w:type="dxa"/>
            <w:vAlign w:val="center"/>
          </w:tcPr>
          <w:p w14:paraId="3E0521CE" w14:textId="2C9EFBA3" w:rsidR="002213B2" w:rsidRPr="000243CB" w:rsidRDefault="005C1CD9" w:rsidP="000243CB">
            <w:pPr>
              <w:spacing w:before="0" w:after="0" w:line="360" w:lineRule="auto"/>
              <w:jc w:val="both"/>
              <w:rPr>
                <w:sz w:val="20"/>
                <w:szCs w:val="20"/>
              </w:rPr>
            </w:pPr>
            <w:r w:rsidRPr="000243CB">
              <w:rPr>
                <w:sz w:val="20"/>
                <w:szCs w:val="20"/>
              </w:rPr>
              <w:t>La valeur minimale sur l’heure considérée de la puissance active maximale en absorption utilisable par le Client</w:t>
            </w:r>
          </w:p>
        </w:tc>
      </w:tr>
      <w:tr w:rsidR="00E90072" w:rsidRPr="00DA2F93" w14:paraId="59990897" w14:textId="77777777" w:rsidTr="0044480E">
        <w:trPr>
          <w:jc w:val="center"/>
        </w:trPr>
        <w:tc>
          <w:tcPr>
            <w:tcW w:w="4785" w:type="dxa"/>
            <w:vAlign w:val="center"/>
          </w:tcPr>
          <w:p w14:paraId="3CAB6864" w14:textId="35E4C8C2" w:rsidR="00E90072" w:rsidRPr="00495BBE" w:rsidRDefault="00E90072" w:rsidP="002213B2">
            <w:pPr>
              <w:pStyle w:val="corpsdetexte0"/>
              <w:jc w:val="center"/>
              <w:rPr>
                <w:rFonts w:ascii="Arial" w:eastAsia="Calibri" w:hAnsi="Arial" w:cs="Times New Roman"/>
                <w:b/>
                <w:bCs/>
              </w:rPr>
            </w:pPr>
            <m:oMathPara>
              <m:oMath>
                <m:r>
                  <m:rPr>
                    <m:sty m:val="bi"/>
                  </m:rPr>
                  <w:rPr>
                    <w:rFonts w:ascii="Cambria Math" w:hAnsi="Cambria Math"/>
                  </w:rPr>
                  <m:t xml:space="preserve">puissance active </m:t>
                </m:r>
                <m:sSup>
                  <m:sSupPr>
                    <m:ctrlPr>
                      <w:rPr>
                        <w:rFonts w:ascii="Cambria Math" w:hAnsi="Cambria Math"/>
                        <w:b/>
                        <w:bCs/>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absorption contractuelle</m:t>
                </m:r>
              </m:oMath>
            </m:oMathPara>
          </w:p>
        </w:tc>
        <w:tc>
          <w:tcPr>
            <w:tcW w:w="5183" w:type="dxa"/>
            <w:vAlign w:val="center"/>
          </w:tcPr>
          <w:p w14:paraId="16D08C0A" w14:textId="1E0588E4" w:rsidR="00E90072" w:rsidRPr="000243CB" w:rsidRDefault="005C1CD9" w:rsidP="000243CB">
            <w:pPr>
              <w:spacing w:before="0" w:after="0" w:line="360" w:lineRule="auto"/>
              <w:jc w:val="both"/>
              <w:rPr>
                <w:sz w:val="20"/>
                <w:szCs w:val="20"/>
              </w:rPr>
            </w:pPr>
            <w:r w:rsidRPr="000243CB">
              <w:rPr>
                <w:sz w:val="20"/>
                <w:szCs w:val="20"/>
              </w:rPr>
              <w:t>la puissance active contractuelle en absorption</w:t>
            </w:r>
            <w:r w:rsidR="005149C0">
              <w:rPr>
                <w:sz w:val="20"/>
                <w:szCs w:val="20"/>
              </w:rPr>
              <w:t xml:space="preserve"> définie dans la Fiche de Recueil des Performances</w:t>
            </w:r>
          </w:p>
        </w:tc>
      </w:tr>
      <w:tr w:rsidR="0044480E" w:rsidRPr="00DA2F93" w14:paraId="4F1D2581" w14:textId="77777777" w:rsidTr="0044480E">
        <w:trPr>
          <w:jc w:val="center"/>
        </w:trPr>
        <w:tc>
          <w:tcPr>
            <w:tcW w:w="4785" w:type="dxa"/>
            <w:vAlign w:val="center"/>
          </w:tcPr>
          <w:p w14:paraId="5EEB6218" w14:textId="695D41D8" w:rsidR="0044480E" w:rsidRPr="00495BBE" w:rsidRDefault="0044480E" w:rsidP="0044480E">
            <w:pPr>
              <w:pStyle w:val="corpsdetexte0"/>
              <w:jc w:val="center"/>
              <w:rPr>
                <w:rFonts w:ascii="Arial" w:eastAsia="Calibri" w:hAnsi="Arial" w:cs="Times New Roman"/>
                <w:b/>
                <w:bCs/>
              </w:rPr>
            </w:pPr>
            <m:oMathPara>
              <m:oMath>
                <m:r>
                  <m:rPr>
                    <m:sty m:val="bi"/>
                  </m:rPr>
                  <w:rPr>
                    <w:rFonts w:ascii="Cambria Math" w:hAnsi="Cambria Math"/>
                  </w:rPr>
                  <m:t xml:space="preserve">puissance réactive </m:t>
                </m:r>
                <m:sSup>
                  <m:sSupPr>
                    <m:ctrlPr>
                      <w:rPr>
                        <w:rFonts w:ascii="Cambria Math" w:hAnsi="Cambria Math"/>
                        <w:b/>
                        <w:bCs/>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injection disponible</m:t>
                </m:r>
              </m:oMath>
            </m:oMathPara>
          </w:p>
        </w:tc>
        <w:tc>
          <w:tcPr>
            <w:tcW w:w="5183" w:type="dxa"/>
            <w:vAlign w:val="center"/>
          </w:tcPr>
          <w:p w14:paraId="071F1960" w14:textId="70840236" w:rsidR="0044480E" w:rsidRPr="000243CB" w:rsidRDefault="0044480E" w:rsidP="000243CB">
            <w:pPr>
              <w:spacing w:before="0" w:after="0" w:line="360" w:lineRule="auto"/>
              <w:jc w:val="both"/>
              <w:rPr>
                <w:sz w:val="20"/>
                <w:szCs w:val="20"/>
              </w:rPr>
            </w:pPr>
            <w:r w:rsidRPr="00495BBE">
              <w:rPr>
                <w:sz w:val="20"/>
                <w:szCs w:val="20"/>
              </w:rPr>
              <w:t xml:space="preserve">La valeur minimale sur l’heure considérée de la puissance </w:t>
            </w:r>
            <w:r w:rsidRPr="000243CB">
              <w:rPr>
                <w:sz w:val="20"/>
                <w:szCs w:val="20"/>
              </w:rPr>
              <w:t>ré</w:t>
            </w:r>
            <w:r w:rsidRPr="00495BBE">
              <w:rPr>
                <w:sz w:val="20"/>
                <w:szCs w:val="20"/>
              </w:rPr>
              <w:t>active maximale en injection utilisable par le client</w:t>
            </w:r>
          </w:p>
        </w:tc>
      </w:tr>
      <w:tr w:rsidR="0044480E" w:rsidRPr="00DA2F93" w14:paraId="1D8AF48B" w14:textId="77777777" w:rsidTr="0044480E">
        <w:trPr>
          <w:jc w:val="center"/>
        </w:trPr>
        <w:tc>
          <w:tcPr>
            <w:tcW w:w="4785" w:type="dxa"/>
            <w:vAlign w:val="center"/>
          </w:tcPr>
          <w:p w14:paraId="2C34B775" w14:textId="3AA24BBC" w:rsidR="0044480E" w:rsidRPr="00495BBE" w:rsidRDefault="0044480E" w:rsidP="0044480E">
            <w:pPr>
              <w:pStyle w:val="corpsdetexte0"/>
              <w:jc w:val="center"/>
              <w:rPr>
                <w:rFonts w:ascii="Arial" w:eastAsia="Calibri" w:hAnsi="Arial" w:cs="Times New Roman"/>
                <w:b/>
                <w:bCs/>
              </w:rPr>
            </w:pPr>
            <m:oMathPara>
              <m:oMath>
                <m:r>
                  <m:rPr>
                    <m:sty m:val="bi"/>
                  </m:rPr>
                  <w:rPr>
                    <w:rFonts w:ascii="Cambria Math" w:hAnsi="Cambria Math"/>
                  </w:rPr>
                  <m:t xml:space="preserve">puissance réactive </m:t>
                </m:r>
                <m:sSup>
                  <m:sSupPr>
                    <m:ctrlPr>
                      <w:rPr>
                        <w:rFonts w:ascii="Cambria Math" w:hAnsi="Cambria Math"/>
                        <w:b/>
                        <w:bCs/>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injection contractuelle</m:t>
                </m:r>
              </m:oMath>
            </m:oMathPara>
          </w:p>
        </w:tc>
        <w:tc>
          <w:tcPr>
            <w:tcW w:w="5183" w:type="dxa"/>
            <w:vAlign w:val="center"/>
          </w:tcPr>
          <w:p w14:paraId="7D6EC510" w14:textId="1284D0F9" w:rsidR="0044480E" w:rsidRPr="000243CB" w:rsidRDefault="0044480E" w:rsidP="000243CB">
            <w:pPr>
              <w:spacing w:before="0" w:after="0" w:line="360" w:lineRule="auto"/>
              <w:jc w:val="both"/>
              <w:rPr>
                <w:sz w:val="20"/>
                <w:szCs w:val="20"/>
              </w:rPr>
            </w:pPr>
            <w:r w:rsidRPr="00495BBE">
              <w:rPr>
                <w:sz w:val="20"/>
                <w:szCs w:val="20"/>
              </w:rPr>
              <w:t xml:space="preserve">la puissance </w:t>
            </w:r>
            <w:r w:rsidRPr="000243CB">
              <w:rPr>
                <w:sz w:val="20"/>
                <w:szCs w:val="20"/>
              </w:rPr>
              <w:t>ré</w:t>
            </w:r>
            <w:r w:rsidRPr="00495BBE">
              <w:rPr>
                <w:sz w:val="20"/>
                <w:szCs w:val="20"/>
              </w:rPr>
              <w:t>active contractuelle en injection</w:t>
            </w:r>
            <w:r w:rsidR="005149C0">
              <w:rPr>
                <w:sz w:val="20"/>
                <w:szCs w:val="20"/>
              </w:rPr>
              <w:t xml:space="preserve"> définie dans la Fiche de Recueil des Performances</w:t>
            </w:r>
          </w:p>
        </w:tc>
      </w:tr>
      <w:tr w:rsidR="0044480E" w:rsidRPr="00DA2F93" w14:paraId="32E1ABEB" w14:textId="77777777" w:rsidTr="0044480E">
        <w:trPr>
          <w:jc w:val="center"/>
        </w:trPr>
        <w:tc>
          <w:tcPr>
            <w:tcW w:w="4785" w:type="dxa"/>
            <w:vAlign w:val="center"/>
          </w:tcPr>
          <w:p w14:paraId="76D44A8A" w14:textId="4AE77B74" w:rsidR="0044480E" w:rsidRPr="00495BBE" w:rsidRDefault="0044480E" w:rsidP="0044480E">
            <w:pPr>
              <w:pStyle w:val="corpsdetexte0"/>
              <w:jc w:val="center"/>
              <w:rPr>
                <w:rFonts w:ascii="Arial" w:eastAsia="Calibri" w:hAnsi="Arial" w:cs="Times New Roman"/>
                <w:b/>
                <w:bCs/>
              </w:rPr>
            </w:pPr>
            <m:oMathPara>
              <m:oMath>
                <m:r>
                  <m:rPr>
                    <m:sty m:val="bi"/>
                  </m:rPr>
                  <w:rPr>
                    <w:rFonts w:ascii="Cambria Math" w:hAnsi="Cambria Math"/>
                  </w:rPr>
                  <w:lastRenderedPageBreak/>
                  <m:t xml:space="preserve">puissance réactive </m:t>
                </m:r>
                <m:sSup>
                  <m:sSupPr>
                    <m:ctrlPr>
                      <w:rPr>
                        <w:rFonts w:ascii="Cambria Math" w:hAnsi="Cambria Math"/>
                        <w:b/>
                        <w:bCs/>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absorption dispon</m:t>
                </m:r>
                <m:r>
                  <m:rPr>
                    <m:sty m:val="bi"/>
                  </m:rPr>
                  <w:rPr>
                    <w:rFonts w:ascii="Cambria Math" w:hAnsi="Cambria Math"/>
                  </w:rPr>
                  <m:t>ible</m:t>
                </m:r>
              </m:oMath>
            </m:oMathPara>
          </w:p>
        </w:tc>
        <w:tc>
          <w:tcPr>
            <w:tcW w:w="5183" w:type="dxa"/>
            <w:vAlign w:val="center"/>
          </w:tcPr>
          <w:p w14:paraId="493C8C5D" w14:textId="1DF29EE0" w:rsidR="0044480E" w:rsidRPr="000243CB" w:rsidRDefault="0044480E" w:rsidP="000243CB">
            <w:pPr>
              <w:spacing w:before="0" w:after="0" w:line="360" w:lineRule="auto"/>
              <w:jc w:val="both"/>
              <w:rPr>
                <w:sz w:val="20"/>
                <w:szCs w:val="20"/>
              </w:rPr>
            </w:pPr>
            <w:r w:rsidRPr="00495BBE">
              <w:rPr>
                <w:sz w:val="20"/>
                <w:szCs w:val="20"/>
              </w:rPr>
              <w:t xml:space="preserve">La valeur minimale sur l’heure considérée de la puissance </w:t>
            </w:r>
            <w:r w:rsidRPr="000243CB">
              <w:rPr>
                <w:sz w:val="20"/>
                <w:szCs w:val="20"/>
              </w:rPr>
              <w:t>ré</w:t>
            </w:r>
            <w:r w:rsidRPr="00495BBE">
              <w:rPr>
                <w:sz w:val="20"/>
                <w:szCs w:val="20"/>
              </w:rPr>
              <w:t>active maximale en absorption utilisable par le Client</w:t>
            </w:r>
          </w:p>
        </w:tc>
      </w:tr>
      <w:tr w:rsidR="0044480E" w:rsidRPr="00DA2F93" w14:paraId="54FC92CC" w14:textId="77777777" w:rsidTr="000243CB">
        <w:trPr>
          <w:jc w:val="center"/>
        </w:trPr>
        <w:tc>
          <w:tcPr>
            <w:tcW w:w="4785" w:type="dxa"/>
            <w:vAlign w:val="center"/>
          </w:tcPr>
          <w:p w14:paraId="1101A7EE" w14:textId="1E8E815F" w:rsidR="0044480E" w:rsidRPr="00DA2F93" w:rsidRDefault="0044480E" w:rsidP="000243CB">
            <w:pPr>
              <w:pStyle w:val="corpsdetexte0"/>
              <w:jc w:val="center"/>
              <w:rPr>
                <w:rFonts w:ascii="Arial" w:hAnsi="Arial"/>
                <w:color w:val="000000" w:themeColor="text1"/>
                <w:sz w:val="22"/>
                <w:szCs w:val="22"/>
              </w:rPr>
            </w:pPr>
            <m:oMathPara>
              <m:oMath>
                <m:r>
                  <m:rPr>
                    <m:sty m:val="bi"/>
                  </m:rPr>
                  <w:rPr>
                    <w:rFonts w:ascii="Cambria Math" w:hAnsi="Cambria Math"/>
                  </w:rPr>
                  <m:t xml:space="preserve">puissance réactive </m:t>
                </m:r>
                <m:sSup>
                  <m:sSupPr>
                    <m:ctrlPr>
                      <w:rPr>
                        <w:rFonts w:ascii="Cambria Math" w:hAnsi="Cambria Math"/>
                        <w:b/>
                        <w:bCs/>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absorption contractuelle</m:t>
                </m:r>
              </m:oMath>
            </m:oMathPara>
          </w:p>
        </w:tc>
        <w:tc>
          <w:tcPr>
            <w:tcW w:w="5183" w:type="dxa"/>
            <w:vAlign w:val="center"/>
          </w:tcPr>
          <w:p w14:paraId="079407D1" w14:textId="31D5BBCA" w:rsidR="0044480E" w:rsidRPr="000243CB" w:rsidRDefault="0044480E" w:rsidP="000243CB">
            <w:pPr>
              <w:spacing w:before="0" w:after="0" w:line="360" w:lineRule="auto"/>
              <w:jc w:val="both"/>
              <w:rPr>
                <w:sz w:val="20"/>
                <w:szCs w:val="20"/>
              </w:rPr>
            </w:pPr>
            <w:r w:rsidRPr="00495BBE">
              <w:rPr>
                <w:sz w:val="20"/>
                <w:szCs w:val="20"/>
              </w:rPr>
              <w:t xml:space="preserve">la puissance </w:t>
            </w:r>
            <w:r w:rsidRPr="000243CB">
              <w:rPr>
                <w:sz w:val="20"/>
                <w:szCs w:val="20"/>
              </w:rPr>
              <w:t>ré</w:t>
            </w:r>
            <w:r w:rsidRPr="00495BBE">
              <w:rPr>
                <w:sz w:val="20"/>
                <w:szCs w:val="20"/>
              </w:rPr>
              <w:t>active contractuelle en absorption</w:t>
            </w:r>
            <w:r w:rsidR="005149C0">
              <w:rPr>
                <w:sz w:val="20"/>
                <w:szCs w:val="20"/>
              </w:rPr>
              <w:t xml:space="preserve"> définie dans la Fiche de Recueil des Performances</w:t>
            </w:r>
          </w:p>
        </w:tc>
      </w:tr>
      <w:tr w:rsidR="00392962" w:rsidRPr="00DA2F93" w14:paraId="125B8C2E" w14:textId="77777777" w:rsidTr="000243CB">
        <w:trPr>
          <w:jc w:val="center"/>
        </w:trPr>
        <w:tc>
          <w:tcPr>
            <w:tcW w:w="4785" w:type="dxa"/>
            <w:vAlign w:val="center"/>
          </w:tcPr>
          <w:p w14:paraId="78988CF3" w14:textId="6F74E511" w:rsidR="00392962" w:rsidRPr="00DA2F93" w:rsidRDefault="00392962" w:rsidP="000243CB">
            <w:pPr>
              <w:pStyle w:val="corpsdetexte0"/>
              <w:jc w:val="center"/>
              <w:rPr>
                <w:rFonts w:ascii="Arial" w:hAnsi="Arial"/>
                <w:color w:val="000000" w:themeColor="text1"/>
                <w:sz w:val="22"/>
                <w:szCs w:val="22"/>
              </w:rPr>
            </w:pPr>
            <m:oMathPara>
              <m:oMath>
                <m:r>
                  <m:rPr>
                    <m:sty m:val="bi"/>
                  </m:rPr>
                  <w:rPr>
                    <w:rFonts w:ascii="Cambria Math" w:hAnsi="Cambria Math"/>
                  </w:rPr>
                  <m:t>ICC en injection disponible</m:t>
                </m:r>
              </m:oMath>
            </m:oMathPara>
          </w:p>
        </w:tc>
        <w:tc>
          <w:tcPr>
            <w:tcW w:w="5183" w:type="dxa"/>
          </w:tcPr>
          <w:p w14:paraId="0F643540" w14:textId="38C4A0E6" w:rsidR="00392962" w:rsidRPr="000243CB" w:rsidRDefault="00392962" w:rsidP="000243CB">
            <w:pPr>
              <w:spacing w:before="0" w:after="0" w:line="360" w:lineRule="auto"/>
              <w:jc w:val="both"/>
              <w:rPr>
                <w:sz w:val="20"/>
                <w:szCs w:val="20"/>
              </w:rPr>
            </w:pPr>
            <w:r w:rsidRPr="000243CB">
              <w:rPr>
                <w:sz w:val="20"/>
                <w:szCs w:val="20"/>
              </w:rPr>
              <w:t>La valeur minimale sur l’heure considérée du courant de court-circuit injectable par l’Installation sur court-circuit à son point de livraison</w:t>
            </w:r>
          </w:p>
        </w:tc>
      </w:tr>
      <w:tr w:rsidR="00392962" w:rsidRPr="00DA2F93" w14:paraId="3312E5EB" w14:textId="77777777" w:rsidTr="000243CB">
        <w:trPr>
          <w:jc w:val="center"/>
        </w:trPr>
        <w:tc>
          <w:tcPr>
            <w:tcW w:w="4785" w:type="dxa"/>
            <w:vAlign w:val="center"/>
          </w:tcPr>
          <w:p w14:paraId="30C8B395" w14:textId="120A3D5A" w:rsidR="00392962" w:rsidRPr="00DA2F93" w:rsidRDefault="00392962" w:rsidP="00392962">
            <w:pPr>
              <w:pStyle w:val="corpsdetexte0"/>
              <w:jc w:val="center"/>
              <w:rPr>
                <w:rFonts w:ascii="Arial" w:hAnsi="Arial"/>
                <w:color w:val="000000" w:themeColor="text1"/>
                <w:sz w:val="22"/>
                <w:szCs w:val="22"/>
              </w:rPr>
            </w:pPr>
            <m:oMathPara>
              <m:oMath>
                <m:r>
                  <m:rPr>
                    <m:sty m:val="bi"/>
                  </m:rPr>
                  <w:rPr>
                    <w:rFonts w:ascii="Cambria Math" w:hAnsi="Cambria Math"/>
                  </w:rPr>
                  <m:t>ICC en injection contractuel</m:t>
                </m:r>
              </m:oMath>
            </m:oMathPara>
          </w:p>
        </w:tc>
        <w:tc>
          <w:tcPr>
            <w:tcW w:w="5183" w:type="dxa"/>
          </w:tcPr>
          <w:p w14:paraId="1E9E1EDE" w14:textId="1D6C6B16" w:rsidR="00392962" w:rsidRPr="000243CB" w:rsidRDefault="00392962" w:rsidP="000243CB">
            <w:pPr>
              <w:spacing w:before="0" w:after="0" w:line="360" w:lineRule="auto"/>
              <w:jc w:val="both"/>
              <w:rPr>
                <w:sz w:val="20"/>
                <w:szCs w:val="20"/>
              </w:rPr>
            </w:pPr>
            <w:r w:rsidRPr="000243CB">
              <w:rPr>
                <w:sz w:val="20"/>
                <w:szCs w:val="20"/>
              </w:rPr>
              <w:t>le courant de court-circuit contractuel en injection</w:t>
            </w:r>
            <w:r w:rsidR="005149C0">
              <w:rPr>
                <w:sz w:val="20"/>
                <w:szCs w:val="20"/>
              </w:rPr>
              <w:t xml:space="preserve"> défini dans la Fiche de Recueil des Performances</w:t>
            </w:r>
          </w:p>
        </w:tc>
      </w:tr>
    </w:tbl>
    <w:p w14:paraId="1D9B675A" w14:textId="77777777" w:rsidR="002213B2" w:rsidRDefault="002213B2" w:rsidP="0050017F">
      <w:pPr>
        <w:widowControl w:val="0"/>
        <w:tabs>
          <w:tab w:val="left" w:pos="12333"/>
        </w:tabs>
        <w:autoSpaceDE w:val="0"/>
        <w:autoSpaceDN w:val="0"/>
        <w:adjustRightInd w:val="0"/>
        <w:spacing w:before="29"/>
        <w:ind w:right="48"/>
        <w:jc w:val="both"/>
      </w:pPr>
    </w:p>
    <w:p w14:paraId="3DD665A6" w14:textId="77777777" w:rsidR="00D7137F" w:rsidRPr="00DA2F93" w:rsidRDefault="00D7137F" w:rsidP="000243CB">
      <w:pPr>
        <w:pStyle w:val="EDFTitre2"/>
      </w:pPr>
      <w:bookmarkStart w:id="160" w:name="_Toc108185084"/>
      <w:bookmarkStart w:id="161" w:name="_Toc108113941"/>
      <w:bookmarkStart w:id="162" w:name="_Toc108158457"/>
      <w:bookmarkStart w:id="163" w:name="_Toc108158566"/>
      <w:bookmarkStart w:id="164" w:name="_Toc108174276"/>
      <w:bookmarkStart w:id="165" w:name="_Toc108174387"/>
      <w:bookmarkStart w:id="166" w:name="_Toc108174507"/>
      <w:bookmarkStart w:id="167" w:name="_Toc108174672"/>
      <w:bookmarkStart w:id="168" w:name="_Toc108185088"/>
      <w:bookmarkStart w:id="169" w:name="_Toc108113942"/>
      <w:bookmarkStart w:id="170" w:name="_Toc108158458"/>
      <w:bookmarkStart w:id="171" w:name="_Toc108158567"/>
      <w:bookmarkStart w:id="172" w:name="_Toc108174277"/>
      <w:bookmarkStart w:id="173" w:name="_Toc108174388"/>
      <w:bookmarkStart w:id="174" w:name="_Toc108174508"/>
      <w:bookmarkStart w:id="175" w:name="_Toc108174673"/>
      <w:bookmarkStart w:id="176" w:name="_Toc108185089"/>
      <w:bookmarkStart w:id="177" w:name="_Toc108113946"/>
      <w:bookmarkStart w:id="178" w:name="_Toc108158462"/>
      <w:bookmarkStart w:id="179" w:name="_Toc108158571"/>
      <w:bookmarkStart w:id="180" w:name="_Toc108174281"/>
      <w:bookmarkStart w:id="181" w:name="_Toc108174392"/>
      <w:bookmarkStart w:id="182" w:name="_Toc108174512"/>
      <w:bookmarkStart w:id="183" w:name="_Toc108174677"/>
      <w:bookmarkStart w:id="184" w:name="_Toc108185093"/>
      <w:bookmarkStart w:id="185" w:name="_Toc108113947"/>
      <w:bookmarkStart w:id="186" w:name="_Toc108158463"/>
      <w:bookmarkStart w:id="187" w:name="_Toc108158572"/>
      <w:bookmarkStart w:id="188" w:name="_Toc108174282"/>
      <w:bookmarkStart w:id="189" w:name="_Toc108174393"/>
      <w:bookmarkStart w:id="190" w:name="_Toc108174513"/>
      <w:bookmarkStart w:id="191" w:name="_Toc108174678"/>
      <w:bookmarkStart w:id="192" w:name="_Toc108185094"/>
      <w:bookmarkStart w:id="193" w:name="_Toc394668249"/>
      <w:bookmarkStart w:id="194" w:name="_Ref427138414"/>
      <w:bookmarkStart w:id="195" w:name="_Toc108113948"/>
      <w:bookmarkStart w:id="196" w:name="_Toc11043646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A2F93">
        <w:t xml:space="preserve">Calcul du Bonus Malus </w:t>
      </w:r>
      <w:bookmarkEnd w:id="193"/>
      <w:bookmarkEnd w:id="194"/>
      <w:r w:rsidR="00487A71" w:rsidRPr="00DA2F93">
        <w:t>annuel</w:t>
      </w:r>
      <w:bookmarkEnd w:id="195"/>
      <w:bookmarkEnd w:id="196"/>
    </w:p>
    <w:p w14:paraId="65066A64" w14:textId="46FEC222" w:rsidR="00D7137F" w:rsidRDefault="00D7137F" w:rsidP="00D7137F">
      <w:pPr>
        <w:shd w:val="clear" w:color="auto" w:fill="FFFFFF" w:themeFill="background1"/>
        <w:rPr>
          <w:szCs w:val="24"/>
        </w:rPr>
      </w:pPr>
      <w:r w:rsidRPr="00DA2F93">
        <w:rPr>
          <w:szCs w:val="24"/>
        </w:rPr>
        <w:t xml:space="preserve">Le calcul du </w:t>
      </w:r>
      <w:r w:rsidR="00BF702E" w:rsidRPr="00DA2F93">
        <w:rPr>
          <w:szCs w:val="24"/>
        </w:rPr>
        <w:t>Bonus</w:t>
      </w:r>
      <w:r w:rsidR="00BF702E">
        <w:rPr>
          <w:szCs w:val="24"/>
        </w:rPr>
        <w:t>-</w:t>
      </w:r>
      <w:r w:rsidRPr="00DA2F93">
        <w:rPr>
          <w:szCs w:val="24"/>
        </w:rPr>
        <w:t xml:space="preserve">Malus </w:t>
      </w:r>
      <w:r w:rsidR="006D3117" w:rsidRPr="00DA2F93">
        <w:rPr>
          <w:szCs w:val="24"/>
        </w:rPr>
        <w:t xml:space="preserve">annuel </w:t>
      </w:r>
      <w:r w:rsidRPr="00DA2F93">
        <w:rPr>
          <w:szCs w:val="24"/>
        </w:rPr>
        <w:t xml:space="preserve">se fait </w:t>
      </w:r>
      <w:r w:rsidR="00C06A09" w:rsidRPr="00DA2F93">
        <w:rPr>
          <w:szCs w:val="24"/>
        </w:rPr>
        <w:t>d</w:t>
      </w:r>
      <w:r w:rsidRPr="00DA2F93">
        <w:rPr>
          <w:szCs w:val="24"/>
        </w:rPr>
        <w:t>e la façon suivante :</w:t>
      </w:r>
    </w:p>
    <w:p w14:paraId="2A443638" w14:textId="4A278ABF" w:rsidR="00345C9B" w:rsidRPr="00DA2F93" w:rsidRDefault="00345C9B" w:rsidP="00D7137F">
      <w:pPr>
        <w:shd w:val="clear" w:color="auto" w:fill="FFFFFF" w:themeFill="background1"/>
        <w:rPr>
          <w:szCs w:val="24"/>
        </w:rPr>
      </w:pPr>
      <w:r>
        <w:rPr>
          <w:szCs w:val="24"/>
        </w:rPr>
        <w:t xml:space="preserve">Pour les années 1 à </w:t>
      </w:r>
      <w:proofErr w:type="spellStart"/>
      <w:r>
        <w:rPr>
          <w:szCs w:val="24"/>
        </w:rPr>
        <w:t>mi-</w:t>
      </w:r>
      <w:r w:rsidR="00DC6BAA">
        <w:rPr>
          <w:szCs w:val="24"/>
        </w:rPr>
        <w:t>contrat</w:t>
      </w:r>
      <w:proofErr w:type="spellEnd"/>
      <w:r w:rsidR="00DC6BAA">
        <w:rPr>
          <w:szCs w:val="24"/>
        </w:rPr>
        <w:t xml:space="preserve"> (l’année de </w:t>
      </w:r>
      <w:proofErr w:type="spellStart"/>
      <w:r w:rsidR="00DC6BAA">
        <w:rPr>
          <w:szCs w:val="24"/>
        </w:rPr>
        <w:t>mi-contrat</w:t>
      </w:r>
      <w:proofErr w:type="spellEnd"/>
      <w:r w:rsidR="00DC6BAA">
        <w:rPr>
          <w:szCs w:val="24"/>
        </w:rPr>
        <w:t xml:space="preserve"> étant </w:t>
      </w:r>
      <w:proofErr w:type="gramStart"/>
      <w:r w:rsidR="00DC6BAA">
        <w:rPr>
          <w:szCs w:val="24"/>
        </w:rPr>
        <w:t>défini</w:t>
      </w:r>
      <w:proofErr w:type="gramEnd"/>
      <w:r w:rsidR="00DC6BAA">
        <w:rPr>
          <w:szCs w:val="24"/>
        </w:rPr>
        <w:t xml:space="preserve"> au paragraphe précédent) </w:t>
      </w:r>
      <w:r>
        <w:rPr>
          <w:szCs w:val="24"/>
        </w:rPr>
        <w:t>:</w:t>
      </w:r>
    </w:p>
    <w:p w14:paraId="422C7D68" w14:textId="2DCDAE11" w:rsidR="005F2671" w:rsidRDefault="00BF702E" w:rsidP="005F2671">
      <w:pPr>
        <w:shd w:val="clear" w:color="auto" w:fill="FFFFFF" w:themeFill="background1"/>
        <w:rPr>
          <w:szCs w:val="24"/>
        </w:rPr>
      </w:pPr>
      <w:r w:rsidRPr="00DA2F93">
        <w:rPr>
          <w:szCs w:val="24"/>
        </w:rPr>
        <w:t>Bonus</w:t>
      </w:r>
      <w:r>
        <w:rPr>
          <w:szCs w:val="24"/>
        </w:rPr>
        <w:t>-</w:t>
      </w:r>
      <w:r w:rsidR="005F2671" w:rsidRPr="00DA2F93">
        <w:rPr>
          <w:szCs w:val="24"/>
        </w:rPr>
        <w:t xml:space="preserve">Malus de l’année N = PPG annuelle indexée * (disponibilité effective de l’année N </w:t>
      </w:r>
      <w:r w:rsidR="005F2671" w:rsidRPr="00DA2F93">
        <w:rPr>
          <w:szCs w:val="24"/>
        </w:rPr>
        <w:tab/>
      </w:r>
      <w:r w:rsidR="005F2671" w:rsidRPr="00DA2F93">
        <w:rPr>
          <w:szCs w:val="24"/>
        </w:rPr>
        <w:tab/>
        <w:t>/ disponibilité annuelle contractuelle cible</w:t>
      </w:r>
      <w:r w:rsidR="005C4E4D">
        <w:rPr>
          <w:szCs w:val="24"/>
        </w:rPr>
        <w:t xml:space="preserve"> - 1</w:t>
      </w:r>
      <w:r w:rsidR="005F2671" w:rsidRPr="00DA2F93">
        <w:rPr>
          <w:szCs w:val="24"/>
        </w:rPr>
        <w:t xml:space="preserve">) </w:t>
      </w:r>
    </w:p>
    <w:p w14:paraId="10109622" w14:textId="27B4750C" w:rsidR="00345C9B" w:rsidRPr="00DA2F93" w:rsidRDefault="00345C9B" w:rsidP="00345C9B">
      <w:pPr>
        <w:shd w:val="clear" w:color="auto" w:fill="FFFFFF" w:themeFill="background1"/>
        <w:rPr>
          <w:szCs w:val="24"/>
        </w:rPr>
      </w:pPr>
      <w:r>
        <w:rPr>
          <w:szCs w:val="24"/>
        </w:rPr>
        <w:t xml:space="preserve">Pour les années de </w:t>
      </w:r>
      <w:proofErr w:type="spellStart"/>
      <w:r>
        <w:rPr>
          <w:szCs w:val="24"/>
        </w:rPr>
        <w:t>mi-</w:t>
      </w:r>
      <w:r w:rsidR="00DC6BAA">
        <w:rPr>
          <w:szCs w:val="24"/>
        </w:rPr>
        <w:t>contrat</w:t>
      </w:r>
      <w:proofErr w:type="spellEnd"/>
      <w:r>
        <w:rPr>
          <w:szCs w:val="24"/>
        </w:rPr>
        <w:t xml:space="preserve"> à la fin de </w:t>
      </w:r>
      <w:r w:rsidR="00B754BC">
        <w:rPr>
          <w:szCs w:val="24"/>
        </w:rPr>
        <w:t>contrat</w:t>
      </w:r>
      <w:r>
        <w:rPr>
          <w:szCs w:val="24"/>
        </w:rPr>
        <w:t> :</w:t>
      </w:r>
    </w:p>
    <w:p w14:paraId="675C62C7" w14:textId="469B8A8E" w:rsidR="00345C9B" w:rsidRDefault="00345C9B" w:rsidP="00345C9B">
      <w:pPr>
        <w:shd w:val="clear" w:color="auto" w:fill="FFFFFF" w:themeFill="background1"/>
        <w:rPr>
          <w:szCs w:val="24"/>
        </w:rPr>
      </w:pPr>
      <w:proofErr w:type="spellStart"/>
      <w:r w:rsidRPr="00DA2F93">
        <w:rPr>
          <w:szCs w:val="24"/>
        </w:rPr>
        <w:t>Bonus Malus</w:t>
      </w:r>
      <w:proofErr w:type="spellEnd"/>
      <w:r w:rsidRPr="00DA2F93">
        <w:rPr>
          <w:szCs w:val="24"/>
        </w:rPr>
        <w:t xml:space="preserve"> de l’année N = PPG annuelle </w:t>
      </w:r>
      <w:r>
        <w:rPr>
          <w:szCs w:val="24"/>
        </w:rPr>
        <w:t>de l’année de mi vie</w:t>
      </w:r>
      <w:r w:rsidRPr="00DA2F93">
        <w:rPr>
          <w:szCs w:val="24"/>
        </w:rPr>
        <w:t xml:space="preserve"> * (disponibilité effective de l’année N </w:t>
      </w:r>
      <w:r w:rsidRPr="00DA2F93">
        <w:rPr>
          <w:szCs w:val="24"/>
        </w:rPr>
        <w:tab/>
      </w:r>
      <w:r w:rsidRPr="00DA2F93">
        <w:rPr>
          <w:szCs w:val="24"/>
        </w:rPr>
        <w:tab/>
        <w:t>/ disponibilité annuelle contractuelle cible</w:t>
      </w:r>
      <w:r w:rsidR="005C4E4D">
        <w:rPr>
          <w:szCs w:val="24"/>
        </w:rPr>
        <w:t xml:space="preserve"> - 1</w:t>
      </w:r>
      <w:r w:rsidRPr="00DA2F93">
        <w:rPr>
          <w:szCs w:val="24"/>
        </w:rPr>
        <w:t xml:space="preserve">) </w:t>
      </w:r>
    </w:p>
    <w:p w14:paraId="54246605" w14:textId="77777777" w:rsidR="00345C9B" w:rsidRPr="00DA2F93" w:rsidRDefault="00345C9B" w:rsidP="005F2671">
      <w:pPr>
        <w:shd w:val="clear" w:color="auto" w:fill="FFFFFF" w:themeFill="background1"/>
        <w:rPr>
          <w:szCs w:val="24"/>
        </w:rPr>
      </w:pPr>
    </w:p>
    <w:p w14:paraId="3FD3DB05" w14:textId="45169F7D" w:rsidR="005F2671" w:rsidRPr="00DA2F93" w:rsidRDefault="005F2671" w:rsidP="005F2671">
      <w:pPr>
        <w:shd w:val="clear" w:color="auto" w:fill="FFFFFF" w:themeFill="background1"/>
        <w:rPr>
          <w:szCs w:val="24"/>
        </w:rPr>
      </w:pPr>
      <w:r w:rsidRPr="00DA2F93">
        <w:rPr>
          <w:szCs w:val="24"/>
        </w:rPr>
        <w:t xml:space="preserve">Etant entendu que la PPG annuelle indexée pourra faire l’objet de révision par </w:t>
      </w:r>
      <w:r w:rsidR="00BF702E">
        <w:rPr>
          <w:szCs w:val="24"/>
        </w:rPr>
        <w:t xml:space="preserve">le </w:t>
      </w:r>
      <w:r w:rsidR="00BF702E">
        <w:rPr>
          <w:rFonts w:cs="Arial"/>
        </w:rPr>
        <w:t>service de la Nouvelle-Calédonie compétent en matière d’énergie</w:t>
      </w:r>
      <w:r w:rsidRPr="00DA2F93">
        <w:rPr>
          <w:szCs w:val="24"/>
        </w:rPr>
        <w:t xml:space="preserve"> (</w:t>
      </w:r>
      <w:proofErr w:type="spellStart"/>
      <w:r w:rsidRPr="00DA2F93">
        <w:rPr>
          <w:szCs w:val="24"/>
        </w:rPr>
        <w:t>cf</w:t>
      </w:r>
      <w:proofErr w:type="spellEnd"/>
      <w:r w:rsidRPr="00DA2F93">
        <w:rPr>
          <w:szCs w:val="24"/>
        </w:rPr>
        <w:t xml:space="preserve"> </w:t>
      </w:r>
      <w:r w:rsidRPr="00DA2F93">
        <w:rPr>
          <w:color w:val="000000" w:themeColor="text1"/>
          <w:szCs w:val="24"/>
        </w:rPr>
        <w:t>§</w:t>
      </w:r>
      <w:r w:rsidR="00E44A1E" w:rsidRPr="00DA2F93">
        <w:rPr>
          <w:szCs w:val="24"/>
        </w:rPr>
        <w:fldChar w:fldCharType="begin"/>
      </w:r>
      <w:r w:rsidRPr="00DA2F93">
        <w:rPr>
          <w:szCs w:val="24"/>
        </w:rPr>
        <w:instrText xml:space="preserve"> REF _Ref491339271 \r \h </w:instrText>
      </w:r>
      <w:r w:rsidR="00DA2F93" w:rsidRPr="00DA2F93">
        <w:rPr>
          <w:szCs w:val="24"/>
        </w:rPr>
        <w:instrText xml:space="preserve"> \* MERGEFORMAT </w:instrText>
      </w:r>
      <w:r w:rsidR="00E44A1E" w:rsidRPr="00DA2F93">
        <w:rPr>
          <w:szCs w:val="24"/>
        </w:rPr>
      </w:r>
      <w:r w:rsidR="00E44A1E" w:rsidRPr="00DA2F93">
        <w:rPr>
          <w:szCs w:val="24"/>
        </w:rPr>
        <w:fldChar w:fldCharType="separate"/>
      </w:r>
      <w:r w:rsidR="0042414D">
        <w:rPr>
          <w:szCs w:val="24"/>
        </w:rPr>
        <w:t>16.2</w:t>
      </w:r>
      <w:r w:rsidR="00E44A1E" w:rsidRPr="00DA2F93">
        <w:rPr>
          <w:szCs w:val="24"/>
        </w:rPr>
        <w:fldChar w:fldCharType="end"/>
      </w:r>
      <w:r w:rsidRPr="00DA2F93">
        <w:rPr>
          <w:szCs w:val="24"/>
        </w:rPr>
        <w:t>)</w:t>
      </w:r>
    </w:p>
    <w:p w14:paraId="3D86194C" w14:textId="77777777" w:rsidR="00CC72B1" w:rsidRPr="00DA2F93" w:rsidRDefault="00CC72B1" w:rsidP="005F2671">
      <w:pPr>
        <w:shd w:val="clear" w:color="auto" w:fill="FFFFFF" w:themeFill="background1"/>
        <w:rPr>
          <w:szCs w:val="24"/>
        </w:rPr>
      </w:pPr>
      <w:r w:rsidRPr="00DA2F93">
        <w:rPr>
          <w:szCs w:val="24"/>
        </w:rPr>
        <w:t>Ce Bonus ou ce Malus annuel sera ajouté ou retranché de la facture établie par le Stockeur au titre du mois de janvier de l’année N+1.</w:t>
      </w:r>
    </w:p>
    <w:p w14:paraId="505CE8E5" w14:textId="77777777" w:rsidR="00D7137F" w:rsidRPr="00DA2F93" w:rsidRDefault="00D7137F" w:rsidP="00D7137F">
      <w:pPr>
        <w:pStyle w:val="EDFTitre2"/>
        <w:jc w:val="both"/>
      </w:pPr>
      <w:bookmarkStart w:id="197" w:name="_Toc108185096"/>
      <w:bookmarkStart w:id="198" w:name="_Toc394668250"/>
      <w:bookmarkStart w:id="199" w:name="_Ref427745237"/>
      <w:bookmarkStart w:id="200" w:name="_Ref427765782"/>
      <w:bookmarkStart w:id="201" w:name="_Toc108113949"/>
      <w:bookmarkStart w:id="202" w:name="_Toc110436468"/>
      <w:bookmarkEnd w:id="197"/>
      <w:r w:rsidRPr="00DA2F93">
        <w:t>Description des procédures de mesure et de contrôle du KD et de constatation des écarts par rapport aux objectifs</w:t>
      </w:r>
      <w:bookmarkEnd w:id="198"/>
      <w:bookmarkEnd w:id="199"/>
      <w:bookmarkEnd w:id="200"/>
      <w:bookmarkEnd w:id="201"/>
      <w:bookmarkEnd w:id="202"/>
    </w:p>
    <w:p w14:paraId="175F743B" w14:textId="2E621C0C" w:rsidR="00D7137F" w:rsidRPr="00DA2F93" w:rsidRDefault="00D7137F" w:rsidP="00D7137F">
      <w:pPr>
        <w:jc w:val="both"/>
        <w:rPr>
          <w:color w:val="000000" w:themeColor="text1"/>
          <w:szCs w:val="24"/>
        </w:rPr>
      </w:pPr>
      <w:r w:rsidRPr="00DA2F93">
        <w:rPr>
          <w:color w:val="000000" w:themeColor="text1"/>
          <w:szCs w:val="24"/>
        </w:rPr>
        <w:t xml:space="preserve">Le décompte des </w:t>
      </w:r>
      <w:r w:rsidR="00C93691" w:rsidRPr="00DA2F93">
        <w:rPr>
          <w:color w:val="000000" w:themeColor="text1"/>
          <w:szCs w:val="24"/>
        </w:rPr>
        <w:t>périodes</w:t>
      </w:r>
      <w:r w:rsidRPr="00DA2F93">
        <w:rPr>
          <w:color w:val="000000" w:themeColor="text1"/>
          <w:szCs w:val="24"/>
        </w:rPr>
        <w:t xml:space="preserve"> d’arrêts (y compris celles des arrêts programmés) et des </w:t>
      </w:r>
      <w:r w:rsidR="00306771">
        <w:rPr>
          <w:color w:val="000000" w:themeColor="text1"/>
          <w:szCs w:val="24"/>
        </w:rPr>
        <w:t>disponibilités sur l’heure sont</w:t>
      </w:r>
      <w:r w:rsidR="004A3096" w:rsidRPr="00DA2F93">
        <w:rPr>
          <w:color w:val="000000" w:themeColor="text1"/>
          <w:szCs w:val="24"/>
        </w:rPr>
        <w:t xml:space="preserve"> transmis par le</w:t>
      </w:r>
      <w:r w:rsidRPr="00DA2F93">
        <w:rPr>
          <w:color w:val="000000" w:themeColor="text1"/>
          <w:szCs w:val="24"/>
        </w:rPr>
        <w:t xml:space="preserve"> </w:t>
      </w:r>
      <w:r w:rsidR="00554628" w:rsidRPr="00DA2F93">
        <w:rPr>
          <w:color w:val="000000" w:themeColor="text1"/>
          <w:szCs w:val="24"/>
        </w:rPr>
        <w:t>Stockeur</w:t>
      </w:r>
      <w:r w:rsidRPr="00DA2F93">
        <w:rPr>
          <w:color w:val="000000" w:themeColor="text1"/>
          <w:szCs w:val="24"/>
        </w:rPr>
        <w:t xml:space="preserve"> </w:t>
      </w:r>
      <w:r w:rsidR="00673CB8" w:rsidRPr="00DA2F93">
        <w:rPr>
          <w:color w:val="000000" w:themeColor="text1"/>
          <w:szCs w:val="24"/>
        </w:rPr>
        <w:t xml:space="preserve">au </w:t>
      </w:r>
      <w:r w:rsidR="00B361C0">
        <w:rPr>
          <w:color w:val="000000" w:themeColor="text1"/>
          <w:szCs w:val="24"/>
        </w:rPr>
        <w:t>GRT</w:t>
      </w:r>
      <w:r w:rsidRPr="00DA2F93">
        <w:rPr>
          <w:color w:val="000000" w:themeColor="text1"/>
          <w:szCs w:val="24"/>
        </w:rPr>
        <w:t xml:space="preserve">, au moins une fois par </w:t>
      </w:r>
      <w:r w:rsidR="00C93691" w:rsidRPr="00DA2F93">
        <w:rPr>
          <w:color w:val="000000" w:themeColor="text1"/>
          <w:szCs w:val="24"/>
        </w:rPr>
        <w:t xml:space="preserve">mois avant établissement de la facture mensuelle dans les conditions prévues au § </w:t>
      </w:r>
      <w:r w:rsidR="00C71C22" w:rsidRPr="00DA2F93">
        <w:fldChar w:fldCharType="begin"/>
      </w:r>
      <w:r w:rsidR="00C71C22" w:rsidRPr="00DA2F93">
        <w:instrText xml:space="preserve"> REF _Ref427690008 \r \h  \* MERGEFORMAT </w:instrText>
      </w:r>
      <w:r w:rsidR="00C71C22" w:rsidRPr="00DA2F93">
        <w:fldChar w:fldCharType="separate"/>
      </w:r>
      <w:r w:rsidR="0042414D" w:rsidRPr="000243CB">
        <w:rPr>
          <w:color w:val="000000" w:themeColor="text1"/>
          <w:szCs w:val="24"/>
        </w:rPr>
        <w:t>16</w:t>
      </w:r>
      <w:r w:rsidR="00C71C22" w:rsidRPr="00DA2F93">
        <w:fldChar w:fldCharType="end"/>
      </w:r>
      <w:r w:rsidRPr="00DA2F93">
        <w:rPr>
          <w:color w:val="000000" w:themeColor="text1"/>
          <w:szCs w:val="24"/>
        </w:rPr>
        <w:t>. Il relève :</w:t>
      </w:r>
    </w:p>
    <w:p w14:paraId="43FAC982" w14:textId="77777777" w:rsidR="00D7137F" w:rsidRPr="00DA2F93" w:rsidRDefault="00D7137F" w:rsidP="008544B3">
      <w:pPr>
        <w:pStyle w:val="Paragraphedeliste"/>
        <w:numPr>
          <w:ilvl w:val="0"/>
          <w:numId w:val="6"/>
        </w:numPr>
        <w:jc w:val="both"/>
        <w:rPr>
          <w:color w:val="000000" w:themeColor="text1"/>
          <w:szCs w:val="24"/>
        </w:rPr>
      </w:pPr>
      <w:r w:rsidRPr="00DA2F93">
        <w:rPr>
          <w:color w:val="000000" w:themeColor="text1"/>
          <w:szCs w:val="24"/>
        </w:rPr>
        <w:t xml:space="preserve">Les </w:t>
      </w:r>
      <w:r w:rsidR="006D4A02" w:rsidRPr="00DA2F93">
        <w:rPr>
          <w:color w:val="000000" w:themeColor="text1"/>
          <w:szCs w:val="24"/>
        </w:rPr>
        <w:t xml:space="preserve">durées </w:t>
      </w:r>
      <w:r w:rsidRPr="00DA2F93">
        <w:rPr>
          <w:color w:val="000000" w:themeColor="text1"/>
          <w:szCs w:val="24"/>
        </w:rPr>
        <w:t xml:space="preserve">de disponibilité </w:t>
      </w:r>
      <w:r w:rsidR="005130C8" w:rsidRPr="00DA2F93">
        <w:rPr>
          <w:color w:val="000000" w:themeColor="text1"/>
          <w:szCs w:val="24"/>
        </w:rPr>
        <w:t xml:space="preserve">de l’Installation </w:t>
      </w:r>
      <w:r w:rsidR="00C93691" w:rsidRPr="00DA2F93">
        <w:rPr>
          <w:color w:val="000000" w:themeColor="text1"/>
          <w:szCs w:val="24"/>
        </w:rPr>
        <w:t xml:space="preserve">pendant le mois </w:t>
      </w:r>
      <w:r w:rsidRPr="00DA2F93">
        <w:rPr>
          <w:color w:val="000000" w:themeColor="text1"/>
          <w:szCs w:val="24"/>
        </w:rPr>
        <w:t>;</w:t>
      </w:r>
    </w:p>
    <w:p w14:paraId="4145BE00" w14:textId="13EB2902" w:rsidR="005130C8" w:rsidRPr="00DA2F93" w:rsidRDefault="005130C8" w:rsidP="008544B3">
      <w:pPr>
        <w:pStyle w:val="Paragraphedeliste"/>
        <w:numPr>
          <w:ilvl w:val="0"/>
          <w:numId w:val="6"/>
        </w:numPr>
        <w:jc w:val="both"/>
        <w:rPr>
          <w:color w:val="000000" w:themeColor="text1"/>
          <w:szCs w:val="24"/>
        </w:rPr>
      </w:pPr>
      <w:r w:rsidRPr="00DA2F93">
        <w:rPr>
          <w:color w:val="000000" w:themeColor="text1"/>
          <w:szCs w:val="24"/>
        </w:rPr>
        <w:t xml:space="preserve">Les </w:t>
      </w:r>
      <w:r w:rsidR="006D4A02" w:rsidRPr="00DA2F93">
        <w:rPr>
          <w:color w:val="000000" w:themeColor="text1"/>
          <w:szCs w:val="24"/>
        </w:rPr>
        <w:t xml:space="preserve">durées </w:t>
      </w:r>
      <w:r w:rsidRPr="00DA2F93">
        <w:rPr>
          <w:color w:val="000000" w:themeColor="text1"/>
          <w:szCs w:val="24"/>
        </w:rPr>
        <w:t xml:space="preserve">d’indisponibilité du réseau </w:t>
      </w:r>
      <w:r w:rsidR="00B361C0">
        <w:rPr>
          <w:color w:val="000000" w:themeColor="text1"/>
          <w:szCs w:val="24"/>
        </w:rPr>
        <w:t>ENERCAL</w:t>
      </w:r>
      <w:r w:rsidRPr="00DA2F93">
        <w:rPr>
          <w:color w:val="000000" w:themeColor="text1"/>
          <w:szCs w:val="24"/>
        </w:rPr>
        <w:t> ;</w:t>
      </w:r>
    </w:p>
    <w:p w14:paraId="2B96E622" w14:textId="77777777" w:rsidR="00D7137F" w:rsidRPr="00DA2F93" w:rsidRDefault="00D7137F" w:rsidP="00D7137F">
      <w:pPr>
        <w:pStyle w:val="Paragraphedeliste"/>
        <w:ind w:left="361"/>
        <w:jc w:val="both"/>
        <w:rPr>
          <w:color w:val="000000" w:themeColor="text1"/>
          <w:szCs w:val="24"/>
        </w:rPr>
      </w:pPr>
      <w:proofErr w:type="gramStart"/>
      <w:r w:rsidRPr="00DA2F93">
        <w:rPr>
          <w:color w:val="000000" w:themeColor="text1"/>
          <w:szCs w:val="24"/>
        </w:rPr>
        <w:t>et</w:t>
      </w:r>
      <w:proofErr w:type="gramEnd"/>
    </w:p>
    <w:p w14:paraId="570781EA" w14:textId="77777777" w:rsidR="00D7137F" w:rsidRPr="00DA2F93" w:rsidRDefault="00D7137F" w:rsidP="008544B3">
      <w:pPr>
        <w:pStyle w:val="Paragraphedeliste"/>
        <w:numPr>
          <w:ilvl w:val="0"/>
          <w:numId w:val="6"/>
        </w:numPr>
        <w:jc w:val="both"/>
        <w:rPr>
          <w:color w:val="000000" w:themeColor="text1"/>
          <w:szCs w:val="24"/>
        </w:rPr>
      </w:pPr>
      <w:r w:rsidRPr="00DA2F93">
        <w:rPr>
          <w:color w:val="000000" w:themeColor="text1"/>
          <w:szCs w:val="24"/>
        </w:rPr>
        <w:t xml:space="preserve">Il calcule le </w:t>
      </w:r>
      <w:proofErr w:type="spellStart"/>
      <w:r w:rsidR="00535725" w:rsidRPr="00DA2F93">
        <w:rPr>
          <w:color w:val="000000" w:themeColor="text1"/>
          <w:szCs w:val="24"/>
        </w:rPr>
        <w:t>Kd</w:t>
      </w:r>
      <w:proofErr w:type="spellEnd"/>
      <w:r w:rsidR="00C93691" w:rsidRPr="00DA2F93">
        <w:rPr>
          <w:color w:val="000000" w:themeColor="text1"/>
          <w:szCs w:val="24"/>
        </w:rPr>
        <w:t xml:space="preserve"> du mois</w:t>
      </w:r>
      <w:r w:rsidR="00830721" w:rsidRPr="00DA2F93">
        <w:rPr>
          <w:color w:val="000000" w:themeColor="text1"/>
          <w:szCs w:val="24"/>
        </w:rPr>
        <w:t xml:space="preserve"> </w:t>
      </w:r>
      <w:r w:rsidRPr="00DA2F93">
        <w:rPr>
          <w:color w:val="000000" w:themeColor="text1"/>
          <w:szCs w:val="24"/>
        </w:rPr>
        <w:t>;</w:t>
      </w:r>
    </w:p>
    <w:p w14:paraId="560FC67F" w14:textId="77777777" w:rsidR="00D7137F" w:rsidRPr="00DA2F93" w:rsidRDefault="00D7137F" w:rsidP="008544B3">
      <w:pPr>
        <w:pStyle w:val="Paragraphedeliste"/>
        <w:numPr>
          <w:ilvl w:val="0"/>
          <w:numId w:val="6"/>
        </w:numPr>
        <w:jc w:val="both"/>
        <w:rPr>
          <w:color w:val="000000" w:themeColor="text1"/>
          <w:szCs w:val="24"/>
        </w:rPr>
      </w:pPr>
      <w:r w:rsidRPr="00DA2F93">
        <w:rPr>
          <w:color w:val="000000" w:themeColor="text1"/>
          <w:szCs w:val="24"/>
        </w:rPr>
        <w:t xml:space="preserve">Il récapitule le </w:t>
      </w:r>
      <w:proofErr w:type="spellStart"/>
      <w:r w:rsidR="00535725" w:rsidRPr="00DA2F93">
        <w:rPr>
          <w:color w:val="000000" w:themeColor="text1"/>
          <w:szCs w:val="24"/>
        </w:rPr>
        <w:t>Kd</w:t>
      </w:r>
      <w:proofErr w:type="spellEnd"/>
      <w:r w:rsidRPr="00DA2F93">
        <w:rPr>
          <w:color w:val="000000" w:themeColor="text1"/>
          <w:szCs w:val="24"/>
        </w:rPr>
        <w:t xml:space="preserve"> depuis le début de l’année.</w:t>
      </w:r>
    </w:p>
    <w:p w14:paraId="363EE3D5" w14:textId="77777777" w:rsidR="00D7137F" w:rsidRPr="00DA2F93" w:rsidRDefault="00D7137F" w:rsidP="00D7137F">
      <w:pPr>
        <w:jc w:val="both"/>
        <w:rPr>
          <w:color w:val="000000" w:themeColor="text1"/>
          <w:szCs w:val="24"/>
        </w:rPr>
      </w:pPr>
    </w:p>
    <w:p w14:paraId="25B73939" w14:textId="3C4807BB" w:rsidR="00A77553" w:rsidRPr="00DA2F93" w:rsidRDefault="004A3096" w:rsidP="00D7137F">
      <w:pPr>
        <w:jc w:val="both"/>
        <w:rPr>
          <w:color w:val="000000" w:themeColor="text1"/>
          <w:szCs w:val="24"/>
        </w:rPr>
      </w:pPr>
      <w:r w:rsidRPr="00DA2F93">
        <w:rPr>
          <w:color w:val="000000" w:themeColor="text1"/>
          <w:szCs w:val="24"/>
        </w:rPr>
        <w:t>L</w:t>
      </w:r>
      <w:r w:rsidR="00673CB8" w:rsidRPr="00DA2F93">
        <w:rPr>
          <w:color w:val="000000" w:themeColor="text1"/>
          <w:szCs w:val="24"/>
        </w:rPr>
        <w:t xml:space="preserve">e </w:t>
      </w:r>
      <w:r w:rsidR="00B361C0">
        <w:rPr>
          <w:color w:val="000000" w:themeColor="text1"/>
          <w:szCs w:val="24"/>
        </w:rPr>
        <w:t>GRT</w:t>
      </w:r>
      <w:r w:rsidRPr="00DA2F93">
        <w:rPr>
          <w:color w:val="000000" w:themeColor="text1"/>
          <w:szCs w:val="24"/>
        </w:rPr>
        <w:t xml:space="preserve"> </w:t>
      </w:r>
      <w:r w:rsidR="00D7137F" w:rsidRPr="00DA2F93">
        <w:rPr>
          <w:color w:val="000000" w:themeColor="text1"/>
          <w:szCs w:val="24"/>
        </w:rPr>
        <w:t xml:space="preserve">dispose de 5 jours </w:t>
      </w:r>
      <w:r w:rsidR="00523ADA" w:rsidRPr="00DA2F93">
        <w:rPr>
          <w:color w:val="000000" w:themeColor="text1"/>
          <w:szCs w:val="24"/>
        </w:rPr>
        <w:t>ouvr</w:t>
      </w:r>
      <w:r w:rsidR="00523ADA">
        <w:rPr>
          <w:color w:val="000000" w:themeColor="text1"/>
          <w:szCs w:val="24"/>
        </w:rPr>
        <w:t>é</w:t>
      </w:r>
      <w:r w:rsidR="00523ADA" w:rsidRPr="00DA2F93">
        <w:rPr>
          <w:color w:val="000000" w:themeColor="text1"/>
          <w:szCs w:val="24"/>
        </w:rPr>
        <w:t xml:space="preserve">s </w:t>
      </w:r>
      <w:r w:rsidR="00D7137F" w:rsidRPr="00DA2F93">
        <w:rPr>
          <w:color w:val="000000" w:themeColor="text1"/>
          <w:szCs w:val="24"/>
        </w:rPr>
        <w:t xml:space="preserve">pour contester le contenu du </w:t>
      </w:r>
      <w:r w:rsidR="00CC72B1" w:rsidRPr="00DA2F93">
        <w:rPr>
          <w:color w:val="000000" w:themeColor="text1"/>
          <w:szCs w:val="24"/>
        </w:rPr>
        <w:t>décompte transmis par</w:t>
      </w:r>
      <w:r w:rsidR="00666F3F">
        <w:rPr>
          <w:color w:val="000000" w:themeColor="text1"/>
          <w:szCs w:val="24"/>
        </w:rPr>
        <w:t xml:space="preserve"> </w:t>
      </w:r>
      <w:r w:rsidR="00CC72B1" w:rsidRPr="00DA2F93">
        <w:rPr>
          <w:color w:val="000000" w:themeColor="text1"/>
          <w:szCs w:val="24"/>
        </w:rPr>
        <w:t>le</w:t>
      </w:r>
      <w:r w:rsidRPr="00DA2F93">
        <w:rPr>
          <w:color w:val="000000" w:themeColor="text1"/>
          <w:szCs w:val="24"/>
        </w:rPr>
        <w:t xml:space="preserve"> </w:t>
      </w:r>
      <w:r w:rsidR="00554628" w:rsidRPr="00DA2F93">
        <w:rPr>
          <w:color w:val="000000" w:themeColor="text1"/>
          <w:szCs w:val="24"/>
        </w:rPr>
        <w:t>Stockeur</w:t>
      </w:r>
      <w:r w:rsidR="00CC72B1" w:rsidRPr="00DA2F93">
        <w:rPr>
          <w:color w:val="000000" w:themeColor="text1"/>
          <w:szCs w:val="24"/>
        </w:rPr>
        <w:t>, à compter de sa date de réception</w:t>
      </w:r>
      <w:r w:rsidR="00D7137F" w:rsidRPr="00DA2F93">
        <w:rPr>
          <w:color w:val="000000" w:themeColor="text1"/>
          <w:szCs w:val="24"/>
        </w:rPr>
        <w:t xml:space="preserve">. </w:t>
      </w:r>
      <w:r w:rsidR="00A77553" w:rsidRPr="00DA2F93">
        <w:rPr>
          <w:color w:val="000000" w:themeColor="text1"/>
          <w:szCs w:val="24"/>
        </w:rPr>
        <w:t xml:space="preserve">En l’absence de contestation dans le délai imparti, le décompte transmis par </w:t>
      </w:r>
      <w:r w:rsidRPr="00DA2F93">
        <w:rPr>
          <w:color w:val="000000" w:themeColor="text1"/>
          <w:szCs w:val="24"/>
        </w:rPr>
        <w:t xml:space="preserve">le </w:t>
      </w:r>
      <w:r w:rsidR="00554628" w:rsidRPr="00DA2F93">
        <w:rPr>
          <w:color w:val="000000" w:themeColor="text1"/>
          <w:szCs w:val="24"/>
        </w:rPr>
        <w:t>Stockeur</w:t>
      </w:r>
      <w:r w:rsidR="00A77553" w:rsidRPr="00DA2F93">
        <w:rPr>
          <w:color w:val="000000" w:themeColor="text1"/>
          <w:szCs w:val="24"/>
        </w:rPr>
        <w:t xml:space="preserve"> est p</w:t>
      </w:r>
      <w:r w:rsidRPr="00DA2F93">
        <w:rPr>
          <w:color w:val="000000" w:themeColor="text1"/>
          <w:szCs w:val="24"/>
        </w:rPr>
        <w:t>résumé accepté par l</w:t>
      </w:r>
      <w:r w:rsidR="00673CB8" w:rsidRPr="00DA2F93">
        <w:rPr>
          <w:color w:val="000000" w:themeColor="text1"/>
          <w:szCs w:val="24"/>
        </w:rPr>
        <w:t xml:space="preserve">e </w:t>
      </w:r>
      <w:r w:rsidR="00B361C0">
        <w:rPr>
          <w:color w:val="000000" w:themeColor="text1"/>
          <w:szCs w:val="24"/>
        </w:rPr>
        <w:t>GRT</w:t>
      </w:r>
      <w:r w:rsidR="00A77553" w:rsidRPr="00DA2F93">
        <w:rPr>
          <w:color w:val="000000" w:themeColor="text1"/>
          <w:szCs w:val="24"/>
        </w:rPr>
        <w:t>.</w:t>
      </w:r>
      <w:r w:rsidR="00614BEB" w:rsidRPr="00DA2F93">
        <w:rPr>
          <w:color w:val="000000" w:themeColor="text1"/>
          <w:szCs w:val="24"/>
        </w:rPr>
        <w:t xml:space="preserve"> Par défaut les échanges auront lieu sous forme de mail avec accusé réception. Les deux parties peuvent, d’un commun accord retenir un </w:t>
      </w:r>
      <w:r w:rsidR="00903BB2">
        <w:rPr>
          <w:color w:val="000000" w:themeColor="text1"/>
          <w:szCs w:val="24"/>
        </w:rPr>
        <w:t xml:space="preserve">autre </w:t>
      </w:r>
      <w:r w:rsidR="00614BEB" w:rsidRPr="00DA2F93">
        <w:rPr>
          <w:color w:val="000000" w:themeColor="text1"/>
          <w:szCs w:val="24"/>
        </w:rPr>
        <w:t>mode de communication.</w:t>
      </w:r>
    </w:p>
    <w:p w14:paraId="011B0731" w14:textId="3F90F29D" w:rsidR="00D7137F" w:rsidRPr="00DA2F93" w:rsidRDefault="00D7137F" w:rsidP="00D7137F">
      <w:pPr>
        <w:jc w:val="both"/>
        <w:rPr>
          <w:color w:val="000000" w:themeColor="text1"/>
          <w:szCs w:val="24"/>
        </w:rPr>
      </w:pPr>
      <w:r w:rsidRPr="00DA2F93">
        <w:rPr>
          <w:color w:val="000000" w:themeColor="text1"/>
          <w:szCs w:val="24"/>
        </w:rPr>
        <w:t xml:space="preserve">En cas de désaccord, la procédure de règlement des différends prévue </w:t>
      </w:r>
      <w:r w:rsidR="00BE0B38" w:rsidRPr="00DA2F93">
        <w:rPr>
          <w:color w:val="000000" w:themeColor="text1"/>
          <w:szCs w:val="24"/>
        </w:rPr>
        <w:t>au §</w:t>
      </w:r>
      <w:r w:rsidRPr="00DA2F93">
        <w:rPr>
          <w:color w:val="000000" w:themeColor="text1"/>
          <w:szCs w:val="24"/>
        </w:rPr>
        <w:t xml:space="preserve"> </w:t>
      </w:r>
      <w:r w:rsidR="00C71C22" w:rsidRPr="00DA2F93">
        <w:fldChar w:fldCharType="begin"/>
      </w:r>
      <w:r w:rsidR="00C71C22" w:rsidRPr="00DA2F93">
        <w:instrText xml:space="preserve"> REF _Ref382124315 \r \h  \* MERGEFORMAT </w:instrText>
      </w:r>
      <w:r w:rsidR="00C71C22" w:rsidRPr="00DA2F93">
        <w:fldChar w:fldCharType="separate"/>
      </w:r>
      <w:r w:rsidR="0042414D" w:rsidRPr="000243CB">
        <w:rPr>
          <w:color w:val="000000" w:themeColor="text1"/>
          <w:szCs w:val="24"/>
        </w:rPr>
        <w:t>28</w:t>
      </w:r>
      <w:r w:rsidR="00C71C22" w:rsidRPr="00DA2F93">
        <w:fldChar w:fldCharType="end"/>
      </w:r>
      <w:r w:rsidRPr="00DA2F93">
        <w:rPr>
          <w:color w:val="000000" w:themeColor="text1"/>
          <w:szCs w:val="24"/>
        </w:rPr>
        <w:t xml:space="preserve"> s’applique.</w:t>
      </w:r>
      <w:r w:rsidR="007853D9" w:rsidRPr="00DA2F93">
        <w:rPr>
          <w:color w:val="000000" w:themeColor="text1"/>
          <w:szCs w:val="24"/>
        </w:rPr>
        <w:t xml:space="preserve"> </w:t>
      </w:r>
    </w:p>
    <w:p w14:paraId="04EFA138" w14:textId="77777777" w:rsidR="00D7137F" w:rsidRPr="00DA2F93" w:rsidRDefault="00D7137F" w:rsidP="00D7137F">
      <w:pPr>
        <w:rPr>
          <w:szCs w:val="24"/>
        </w:rPr>
      </w:pPr>
    </w:p>
    <w:p w14:paraId="7808A095" w14:textId="45C774BD" w:rsidR="00D7137F" w:rsidRPr="00DA2F93" w:rsidRDefault="00D7137F" w:rsidP="00D7137F">
      <w:pPr>
        <w:pStyle w:val="EDFTitre2"/>
        <w:jc w:val="both"/>
      </w:pPr>
      <w:bookmarkStart w:id="203" w:name="_Toc394668251"/>
      <w:bookmarkStart w:id="204" w:name="_Toc108113950"/>
      <w:bookmarkStart w:id="205" w:name="_Toc110436469"/>
      <w:r w:rsidRPr="00DA2F93">
        <w:t>Déclaration d’indisponibilité par l</w:t>
      </w:r>
      <w:bookmarkEnd w:id="203"/>
      <w:r w:rsidR="00673CB8" w:rsidRPr="00DA2F93">
        <w:t xml:space="preserve">e </w:t>
      </w:r>
      <w:r w:rsidR="00B361C0">
        <w:t>GRT</w:t>
      </w:r>
      <w:bookmarkEnd w:id="204"/>
      <w:bookmarkEnd w:id="205"/>
    </w:p>
    <w:p w14:paraId="7E056526" w14:textId="6F4A69E9" w:rsidR="00D7137F" w:rsidRPr="00DA2F93" w:rsidRDefault="00D7137F" w:rsidP="00D7137F">
      <w:pPr>
        <w:shd w:val="clear" w:color="auto" w:fill="FFFFFF" w:themeFill="background1"/>
        <w:jc w:val="both"/>
      </w:pPr>
      <w:r w:rsidRPr="00DA2F93">
        <w:lastRenderedPageBreak/>
        <w:t xml:space="preserve">Le fonctionnement </w:t>
      </w:r>
      <w:r w:rsidR="004D51A4" w:rsidRPr="00DA2F93">
        <w:t xml:space="preserve">coordonné </w:t>
      </w:r>
      <w:r w:rsidR="007853D9" w:rsidRPr="00DA2F93">
        <w:t xml:space="preserve">de l’Installation </w:t>
      </w:r>
      <w:r w:rsidR="004D51A4" w:rsidRPr="00DA2F93">
        <w:t xml:space="preserve">avec le réseau </w:t>
      </w:r>
      <w:r w:rsidRPr="00DA2F93">
        <w:t>doit se faire selon un règlement technique et des consignes d'exploitation définis dans un document séparé :</w:t>
      </w:r>
      <w:r w:rsidR="00433795" w:rsidRPr="00DA2F93">
        <w:t xml:space="preserve"> la </w:t>
      </w:r>
      <w:r w:rsidR="00502B79">
        <w:t xml:space="preserve">Convention de Raccordement et d’Exploitation </w:t>
      </w:r>
      <w:r w:rsidRPr="00DA2F93">
        <w:t xml:space="preserve">précisant </w:t>
      </w:r>
      <w:r w:rsidR="007853D9" w:rsidRPr="00DA2F93">
        <w:t xml:space="preserve">notamment </w:t>
      </w:r>
      <w:r w:rsidRPr="00DA2F93">
        <w:t>les règles à suivre en cas de déclenchement et de remise en service</w:t>
      </w:r>
      <w:r w:rsidR="007853D9" w:rsidRPr="00DA2F93">
        <w:t xml:space="preserve"> de l’Installation</w:t>
      </w:r>
      <w:r w:rsidRPr="00DA2F93">
        <w:t xml:space="preserve">. </w:t>
      </w:r>
    </w:p>
    <w:p w14:paraId="30066ED9" w14:textId="0A89AA8D" w:rsidR="00D7137F" w:rsidRDefault="00D7137F" w:rsidP="00D7137F">
      <w:pPr>
        <w:shd w:val="clear" w:color="auto" w:fill="FFFFFF" w:themeFill="background1"/>
        <w:jc w:val="both"/>
      </w:pPr>
      <w:r w:rsidRPr="00DA2F93">
        <w:t>Si l</w:t>
      </w:r>
      <w:r w:rsidR="00673CB8" w:rsidRPr="00DA2F93">
        <w:t xml:space="preserve">e </w:t>
      </w:r>
      <w:r w:rsidR="00B361C0">
        <w:t>GRT</w:t>
      </w:r>
      <w:r w:rsidRPr="00DA2F93">
        <w:t xml:space="preserve"> constate une inobservation des règles à suivre, il peut mettre en demeure le </w:t>
      </w:r>
      <w:r w:rsidR="00554628" w:rsidRPr="00DA2F93">
        <w:t>Stockeur</w:t>
      </w:r>
      <w:r w:rsidRPr="00DA2F93">
        <w:t xml:space="preserve"> de se mettre en conformité, dans un délai raisonnable, sous peine de considérer l’</w:t>
      </w:r>
      <w:r w:rsidR="007853D9" w:rsidRPr="00DA2F93">
        <w:t>I</w:t>
      </w:r>
      <w:r w:rsidRPr="00DA2F93">
        <w:t xml:space="preserve">nstallation comme partiellement </w:t>
      </w:r>
      <w:r w:rsidR="00EE7E16">
        <w:t xml:space="preserve">ou totalement </w:t>
      </w:r>
      <w:r w:rsidRPr="00DA2F93">
        <w:t>indisponible.</w:t>
      </w:r>
    </w:p>
    <w:p w14:paraId="3F056FFF" w14:textId="77777777" w:rsidR="006A30DA" w:rsidRPr="00DA2F93" w:rsidRDefault="006A30DA" w:rsidP="00D7137F">
      <w:pPr>
        <w:shd w:val="clear" w:color="auto" w:fill="FFFFFF" w:themeFill="background1"/>
        <w:jc w:val="both"/>
      </w:pPr>
    </w:p>
    <w:p w14:paraId="6DACA491" w14:textId="77777777" w:rsidR="00D7137F" w:rsidRPr="00DA2F93" w:rsidRDefault="00D7137F" w:rsidP="00D7137F">
      <w:pPr>
        <w:pStyle w:val="EDFTitre1"/>
        <w:jc w:val="both"/>
      </w:pPr>
      <w:bookmarkStart w:id="206" w:name="_Toc108113951"/>
      <w:bookmarkStart w:id="207" w:name="_Toc108158467"/>
      <w:bookmarkStart w:id="208" w:name="_Toc108158576"/>
      <w:bookmarkStart w:id="209" w:name="_Toc108174286"/>
      <w:bookmarkStart w:id="210" w:name="_Toc108174397"/>
      <w:bookmarkStart w:id="211" w:name="_Toc108174517"/>
      <w:bookmarkStart w:id="212" w:name="_Toc108174682"/>
      <w:bookmarkStart w:id="213" w:name="_Toc108185099"/>
      <w:bookmarkStart w:id="214" w:name="_Toc108113952"/>
      <w:bookmarkStart w:id="215" w:name="_Toc108158468"/>
      <w:bookmarkStart w:id="216" w:name="_Toc108158577"/>
      <w:bookmarkStart w:id="217" w:name="_Toc108174287"/>
      <w:bookmarkStart w:id="218" w:name="_Toc108174398"/>
      <w:bookmarkStart w:id="219" w:name="_Toc108174518"/>
      <w:bookmarkStart w:id="220" w:name="_Toc108174683"/>
      <w:bookmarkStart w:id="221" w:name="_Toc108185100"/>
      <w:bookmarkStart w:id="222" w:name="_Ref382468884"/>
      <w:bookmarkStart w:id="223" w:name="_Ref382475563"/>
      <w:bookmarkStart w:id="224" w:name="_Toc394668252"/>
      <w:bookmarkStart w:id="225" w:name="_Toc108113953"/>
      <w:bookmarkStart w:id="226" w:name="_Toc110436470"/>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DA2F93">
        <w:t>Indicateurs de performance et pénalités</w:t>
      </w:r>
      <w:bookmarkEnd w:id="222"/>
      <w:bookmarkEnd w:id="223"/>
      <w:bookmarkEnd w:id="224"/>
      <w:bookmarkEnd w:id="225"/>
      <w:bookmarkEnd w:id="226"/>
    </w:p>
    <w:p w14:paraId="133244D7" w14:textId="67E0D5DF" w:rsidR="00D7137F" w:rsidRPr="00DA2F93" w:rsidRDefault="00CC72B1" w:rsidP="00D7137F">
      <w:pPr>
        <w:pStyle w:val="EDFTitre2"/>
        <w:jc w:val="both"/>
      </w:pPr>
      <w:bookmarkStart w:id="227" w:name="_Ref493854929"/>
      <w:bookmarkStart w:id="228" w:name="_Ref493855000"/>
      <w:bookmarkStart w:id="229" w:name="_Toc108113954"/>
      <w:bookmarkStart w:id="230" w:name="_Toc110436471"/>
      <w:r w:rsidRPr="00DA2F93">
        <w:t>Principes</w:t>
      </w:r>
      <w:bookmarkEnd w:id="227"/>
      <w:bookmarkEnd w:id="228"/>
      <w:bookmarkEnd w:id="229"/>
      <w:bookmarkEnd w:id="230"/>
    </w:p>
    <w:p w14:paraId="0A87B0D1" w14:textId="3BAB1E66" w:rsidR="00D7137F" w:rsidRPr="00DA2F93" w:rsidRDefault="009F4FC7" w:rsidP="00D7137F">
      <w:pPr>
        <w:jc w:val="both"/>
        <w:rPr>
          <w:szCs w:val="24"/>
        </w:rPr>
      </w:pPr>
      <w:r>
        <w:rPr>
          <w:szCs w:val="24"/>
        </w:rPr>
        <w:t>Le fonctionnement de</w:t>
      </w:r>
      <w:r w:rsidR="00D7137F" w:rsidRPr="00DA2F93">
        <w:rPr>
          <w:szCs w:val="24"/>
        </w:rPr>
        <w:t xml:space="preserve"> l’Installation dans le système électrique est potentiellement génératrice de perturbations</w:t>
      </w:r>
      <w:r w:rsidR="00E33CFF" w:rsidRPr="00DA2F93">
        <w:rPr>
          <w:szCs w:val="24"/>
        </w:rPr>
        <w:t xml:space="preserve"> lorsqu’elle n’est pas conforme à l’attendu</w:t>
      </w:r>
      <w:r w:rsidR="00D7137F" w:rsidRPr="00DA2F93">
        <w:rPr>
          <w:szCs w:val="24"/>
        </w:rPr>
        <w:t xml:space="preserve">. Les </w:t>
      </w:r>
      <w:r w:rsidR="00EC5605" w:rsidRPr="00DA2F93">
        <w:rPr>
          <w:szCs w:val="24"/>
        </w:rPr>
        <w:t>p</w:t>
      </w:r>
      <w:r w:rsidR="00D7137F" w:rsidRPr="00DA2F93">
        <w:rPr>
          <w:szCs w:val="24"/>
        </w:rPr>
        <w:t xml:space="preserve">énalités sanctionnent les événements suivants dès </w:t>
      </w:r>
      <w:r w:rsidR="00305860" w:rsidRPr="00DA2F93">
        <w:rPr>
          <w:szCs w:val="24"/>
        </w:rPr>
        <w:t xml:space="preserve">lors </w:t>
      </w:r>
      <w:r w:rsidR="00D7137F" w:rsidRPr="00DA2F93">
        <w:rPr>
          <w:szCs w:val="24"/>
        </w:rPr>
        <w:t xml:space="preserve">qu’ils sont imputables au </w:t>
      </w:r>
      <w:r w:rsidR="00554628" w:rsidRPr="00DA2F93">
        <w:rPr>
          <w:szCs w:val="24"/>
        </w:rPr>
        <w:t>Stockeur</w:t>
      </w:r>
      <w:r w:rsidR="00D7137F" w:rsidRPr="00DA2F93">
        <w:rPr>
          <w:szCs w:val="24"/>
        </w:rPr>
        <w:t> :</w:t>
      </w:r>
    </w:p>
    <w:p w14:paraId="12970B0F" w14:textId="3183EFE8" w:rsidR="00D7137F" w:rsidRPr="00F9040A" w:rsidRDefault="00D7137F" w:rsidP="008544B3">
      <w:pPr>
        <w:pStyle w:val="Paragraphedeliste"/>
        <w:numPr>
          <w:ilvl w:val="0"/>
          <w:numId w:val="6"/>
        </w:numPr>
        <w:rPr>
          <w:szCs w:val="24"/>
        </w:rPr>
      </w:pPr>
      <w:r w:rsidRPr="00F9040A">
        <w:rPr>
          <w:szCs w:val="24"/>
        </w:rPr>
        <w:t xml:space="preserve">Les indisponibilités </w:t>
      </w:r>
      <w:r w:rsidR="0003596D" w:rsidRPr="00F9040A">
        <w:rPr>
          <w:szCs w:val="24"/>
        </w:rPr>
        <w:t>annoncées</w:t>
      </w:r>
      <w:r w:rsidRPr="00F9040A">
        <w:rPr>
          <w:szCs w:val="24"/>
        </w:rPr>
        <w:t xml:space="preserve"> telles que définies au § </w:t>
      </w:r>
      <w:r w:rsidR="00C71C22" w:rsidRPr="001E4AE7">
        <w:fldChar w:fldCharType="begin"/>
      </w:r>
      <w:r w:rsidR="00C71C22" w:rsidRPr="00F9040A">
        <w:instrText xml:space="preserve"> REF _Ref382469472 \r \h  \* MERGEFORMAT </w:instrText>
      </w:r>
      <w:r w:rsidR="00C71C22" w:rsidRPr="001E4AE7">
        <w:fldChar w:fldCharType="separate"/>
      </w:r>
      <w:r w:rsidR="0042414D" w:rsidRPr="001E4AE7">
        <w:rPr>
          <w:szCs w:val="24"/>
        </w:rPr>
        <w:t>12.2</w:t>
      </w:r>
      <w:r w:rsidR="00C71C22" w:rsidRPr="001E4AE7">
        <w:fldChar w:fldCharType="end"/>
      </w:r>
      <w:r w:rsidRPr="00F9040A">
        <w:rPr>
          <w:szCs w:val="24"/>
        </w:rPr>
        <w:t xml:space="preserve"> ;</w:t>
      </w:r>
    </w:p>
    <w:p w14:paraId="478FFCB7" w14:textId="67302BA8" w:rsidR="00D7137F" w:rsidRPr="00F9040A" w:rsidRDefault="00D7137F" w:rsidP="008544B3">
      <w:pPr>
        <w:pStyle w:val="Paragraphedeliste"/>
        <w:numPr>
          <w:ilvl w:val="0"/>
          <w:numId w:val="6"/>
        </w:numPr>
        <w:rPr>
          <w:szCs w:val="24"/>
        </w:rPr>
      </w:pPr>
      <w:r w:rsidRPr="00F9040A">
        <w:rPr>
          <w:szCs w:val="24"/>
        </w:rPr>
        <w:t>La non tenue de la puissance spécifiée telle que définie au §</w:t>
      </w:r>
      <w:r w:rsidRPr="00F9040A">
        <w:t xml:space="preserve"> </w:t>
      </w:r>
      <w:r w:rsidR="00C71C22" w:rsidRPr="001E4AE7">
        <w:fldChar w:fldCharType="begin"/>
      </w:r>
      <w:r w:rsidR="00C71C22" w:rsidRPr="00F9040A">
        <w:instrText xml:space="preserve"> REF _Ref382300902 \r \h  \* MERGEFORMAT </w:instrText>
      </w:r>
      <w:r w:rsidR="00C71C22" w:rsidRPr="001E4AE7">
        <w:fldChar w:fldCharType="separate"/>
      </w:r>
      <w:r w:rsidR="0042414D">
        <w:t>12.3</w:t>
      </w:r>
      <w:r w:rsidR="00C71C22" w:rsidRPr="001E4AE7">
        <w:fldChar w:fldCharType="end"/>
      </w:r>
      <w:r w:rsidR="009F4FC7" w:rsidRPr="00F9040A">
        <w:t xml:space="preserve"> </w:t>
      </w:r>
      <w:r w:rsidRPr="00F9040A">
        <w:t>;</w:t>
      </w:r>
      <w:r w:rsidRPr="00F9040A">
        <w:rPr>
          <w:szCs w:val="24"/>
        </w:rPr>
        <w:t xml:space="preserve"> </w:t>
      </w:r>
    </w:p>
    <w:p w14:paraId="0E423A81" w14:textId="1C5995F4" w:rsidR="00B97BDC" w:rsidRPr="000243CB" w:rsidRDefault="00D7137F">
      <w:pPr>
        <w:pStyle w:val="Paragraphedeliste"/>
        <w:numPr>
          <w:ilvl w:val="0"/>
          <w:numId w:val="6"/>
        </w:numPr>
      </w:pPr>
      <w:r w:rsidRPr="00F9040A">
        <w:rPr>
          <w:szCs w:val="24"/>
        </w:rPr>
        <w:t>Les déclenchements tels que définis au §</w:t>
      </w:r>
      <w:r w:rsidRPr="00F9040A">
        <w:t xml:space="preserve"> </w:t>
      </w:r>
      <w:r w:rsidR="00C71C22" w:rsidRPr="001E4AE7">
        <w:fldChar w:fldCharType="begin"/>
      </w:r>
      <w:r w:rsidR="00C71C22" w:rsidRPr="00F9040A">
        <w:instrText xml:space="preserve"> REF _Ref382469524 \r \h  \* MERGEFORMAT </w:instrText>
      </w:r>
      <w:r w:rsidR="00C71C22" w:rsidRPr="001E4AE7">
        <w:fldChar w:fldCharType="separate"/>
      </w:r>
      <w:r w:rsidR="0042414D">
        <w:t>12.4</w:t>
      </w:r>
      <w:r w:rsidR="00C71C22" w:rsidRPr="001E4AE7">
        <w:fldChar w:fldCharType="end"/>
      </w:r>
      <w:r w:rsidRPr="00F9040A">
        <w:t> ;</w:t>
      </w:r>
    </w:p>
    <w:p w14:paraId="12018863" w14:textId="1029978D" w:rsidR="00BC5A2B" w:rsidRPr="000243CB" w:rsidRDefault="00F9040A" w:rsidP="008544B3">
      <w:pPr>
        <w:pStyle w:val="Paragraphedeliste"/>
        <w:numPr>
          <w:ilvl w:val="0"/>
          <w:numId w:val="6"/>
        </w:numPr>
        <w:rPr>
          <w:szCs w:val="24"/>
        </w:rPr>
      </w:pPr>
      <w:r w:rsidRPr="000243CB">
        <w:t xml:space="preserve">Perte d’énergie excessive telle que définie au </w:t>
      </w:r>
      <w:r w:rsidRPr="000243CB">
        <w:rPr>
          <w:szCs w:val="24"/>
        </w:rPr>
        <w:t xml:space="preserve">§ </w:t>
      </w:r>
      <w:r w:rsidRPr="000243CB">
        <w:rPr>
          <w:szCs w:val="24"/>
        </w:rPr>
        <w:fldChar w:fldCharType="begin"/>
      </w:r>
      <w:r w:rsidRPr="000243CB">
        <w:rPr>
          <w:szCs w:val="24"/>
        </w:rPr>
        <w:instrText xml:space="preserve"> REF _Ref108184091 \r \h </w:instrText>
      </w:r>
      <w:r>
        <w:rPr>
          <w:szCs w:val="24"/>
        </w:rPr>
        <w:instrText xml:space="preserve"> \* MERGEFORMAT </w:instrText>
      </w:r>
      <w:r w:rsidRPr="000243CB">
        <w:rPr>
          <w:szCs w:val="24"/>
        </w:rPr>
      </w:r>
      <w:r w:rsidRPr="000243CB">
        <w:rPr>
          <w:szCs w:val="24"/>
        </w:rPr>
        <w:fldChar w:fldCharType="separate"/>
      </w:r>
      <w:r w:rsidR="0042414D">
        <w:rPr>
          <w:szCs w:val="24"/>
        </w:rPr>
        <w:t>12.5</w:t>
      </w:r>
      <w:r w:rsidRPr="000243CB">
        <w:rPr>
          <w:szCs w:val="24"/>
        </w:rPr>
        <w:fldChar w:fldCharType="end"/>
      </w:r>
      <w:r w:rsidRPr="000243CB">
        <w:rPr>
          <w:szCs w:val="24"/>
        </w:rPr>
        <w:t> ;</w:t>
      </w:r>
    </w:p>
    <w:p w14:paraId="0E59CC0C" w14:textId="0B036C95" w:rsidR="00F9040A" w:rsidRPr="000243CB" w:rsidRDefault="00F9040A" w:rsidP="008544B3">
      <w:pPr>
        <w:pStyle w:val="Paragraphedeliste"/>
        <w:numPr>
          <w:ilvl w:val="0"/>
          <w:numId w:val="6"/>
        </w:numPr>
        <w:rPr>
          <w:szCs w:val="24"/>
        </w:rPr>
      </w:pPr>
      <w:r w:rsidRPr="000243CB">
        <w:rPr>
          <w:szCs w:val="24"/>
        </w:rPr>
        <w:t xml:space="preserve">Le Temps de réponse excédant le plafond contractuel tel que défini au § </w:t>
      </w:r>
      <w:r w:rsidRPr="000243CB">
        <w:rPr>
          <w:szCs w:val="24"/>
        </w:rPr>
        <w:fldChar w:fldCharType="begin"/>
      </w:r>
      <w:r w:rsidRPr="000243CB">
        <w:rPr>
          <w:szCs w:val="24"/>
        </w:rPr>
        <w:instrText xml:space="preserve"> REF _Ref108184108 \r \h </w:instrText>
      </w:r>
      <w:r>
        <w:rPr>
          <w:szCs w:val="24"/>
        </w:rPr>
        <w:instrText xml:space="preserve"> \* MERGEFORMAT </w:instrText>
      </w:r>
      <w:r w:rsidRPr="000243CB">
        <w:rPr>
          <w:szCs w:val="24"/>
        </w:rPr>
      </w:r>
      <w:r w:rsidRPr="000243CB">
        <w:rPr>
          <w:szCs w:val="24"/>
        </w:rPr>
        <w:fldChar w:fldCharType="separate"/>
      </w:r>
      <w:r w:rsidR="0042414D">
        <w:rPr>
          <w:szCs w:val="24"/>
        </w:rPr>
        <w:t>12.6</w:t>
      </w:r>
      <w:r w:rsidRPr="000243CB">
        <w:rPr>
          <w:szCs w:val="24"/>
        </w:rPr>
        <w:fldChar w:fldCharType="end"/>
      </w:r>
      <w:r w:rsidRPr="000243CB">
        <w:t> ;</w:t>
      </w:r>
    </w:p>
    <w:p w14:paraId="34884F90" w14:textId="68E37388" w:rsidR="00F9040A" w:rsidRPr="00F9040A" w:rsidRDefault="00F9040A" w:rsidP="008544B3">
      <w:pPr>
        <w:pStyle w:val="Paragraphedeliste"/>
        <w:numPr>
          <w:ilvl w:val="0"/>
          <w:numId w:val="6"/>
        </w:numPr>
        <w:rPr>
          <w:szCs w:val="24"/>
        </w:rPr>
      </w:pPr>
      <w:r w:rsidRPr="000243CB">
        <w:t xml:space="preserve">Echec de renvoi de tension tel que défini au </w:t>
      </w:r>
      <w:r w:rsidRPr="000243CB">
        <w:rPr>
          <w:szCs w:val="24"/>
        </w:rPr>
        <w:t xml:space="preserve">§ </w:t>
      </w:r>
      <w:r w:rsidRPr="000243CB">
        <w:rPr>
          <w:szCs w:val="24"/>
        </w:rPr>
        <w:fldChar w:fldCharType="begin"/>
      </w:r>
      <w:r w:rsidRPr="000243CB">
        <w:rPr>
          <w:szCs w:val="24"/>
        </w:rPr>
        <w:instrText xml:space="preserve"> REF _Ref108184126 \r \h </w:instrText>
      </w:r>
      <w:r>
        <w:rPr>
          <w:szCs w:val="24"/>
        </w:rPr>
        <w:instrText xml:space="preserve"> \* MERGEFORMAT </w:instrText>
      </w:r>
      <w:r w:rsidRPr="000243CB">
        <w:rPr>
          <w:szCs w:val="24"/>
        </w:rPr>
      </w:r>
      <w:r w:rsidRPr="000243CB">
        <w:rPr>
          <w:szCs w:val="24"/>
        </w:rPr>
        <w:fldChar w:fldCharType="separate"/>
      </w:r>
      <w:r w:rsidR="0042414D">
        <w:rPr>
          <w:szCs w:val="24"/>
        </w:rPr>
        <w:t>12.7</w:t>
      </w:r>
      <w:r w:rsidRPr="000243CB">
        <w:rPr>
          <w:szCs w:val="24"/>
        </w:rPr>
        <w:fldChar w:fldCharType="end"/>
      </w:r>
      <w:r w:rsidRPr="000243CB">
        <w:rPr>
          <w:szCs w:val="24"/>
        </w:rPr>
        <w:t>.</w:t>
      </w:r>
    </w:p>
    <w:p w14:paraId="667C9B3E" w14:textId="77777777" w:rsidR="004E41D3" w:rsidRDefault="004E41D3" w:rsidP="004E41D3">
      <w:pPr>
        <w:ind w:left="1"/>
        <w:rPr>
          <w:szCs w:val="24"/>
          <w:highlight w:val="yellow"/>
        </w:rPr>
      </w:pPr>
    </w:p>
    <w:p w14:paraId="07ED0075" w14:textId="77A2E143" w:rsidR="004E41D3" w:rsidRPr="004E41D3" w:rsidRDefault="004E41D3" w:rsidP="000243CB">
      <w:pPr>
        <w:ind w:left="1"/>
        <w:rPr>
          <w:szCs w:val="24"/>
        </w:rPr>
      </w:pPr>
      <w:r w:rsidRPr="000243CB">
        <w:rPr>
          <w:szCs w:val="24"/>
        </w:rPr>
        <w:t>Les pénalités sont cumulable</w:t>
      </w:r>
      <w:r w:rsidR="004F57EA">
        <w:rPr>
          <w:szCs w:val="24"/>
        </w:rPr>
        <w:t>s</w:t>
      </w:r>
      <w:r w:rsidRPr="000243CB">
        <w:rPr>
          <w:szCs w:val="24"/>
        </w:rPr>
        <w:t xml:space="preserve"> pour un même fait générateur ; par un exemple une pénalité </w:t>
      </w:r>
      <w:proofErr w:type="spellStart"/>
      <w:r w:rsidRPr="000243CB">
        <w:rPr>
          <w:szCs w:val="24"/>
        </w:rPr>
        <w:t>Kq</w:t>
      </w:r>
      <w:proofErr w:type="spellEnd"/>
      <w:r w:rsidRPr="000243CB">
        <w:rPr>
          <w:szCs w:val="24"/>
        </w:rPr>
        <w:t xml:space="preserve"> suivi d’une pénalité TPS.</w:t>
      </w:r>
    </w:p>
    <w:p w14:paraId="172DE5B5" w14:textId="77777777" w:rsidR="00B97BDC" w:rsidRPr="00DA2F93" w:rsidRDefault="00B97BDC" w:rsidP="000243CB">
      <w:pPr>
        <w:ind w:left="1"/>
      </w:pPr>
    </w:p>
    <w:p w14:paraId="52A59558" w14:textId="0270E364" w:rsidR="009F503C" w:rsidRPr="00DA2F93" w:rsidRDefault="009F503C" w:rsidP="00D7137F">
      <w:pPr>
        <w:jc w:val="both"/>
        <w:rPr>
          <w:szCs w:val="24"/>
        </w:rPr>
      </w:pPr>
      <w:r w:rsidRPr="00DA2F93">
        <w:rPr>
          <w:color w:val="000000" w:themeColor="text1"/>
        </w:rPr>
        <w:t>L</w:t>
      </w:r>
      <w:r w:rsidR="00673CB8" w:rsidRPr="00DA2F93">
        <w:rPr>
          <w:color w:val="000000" w:themeColor="text1"/>
        </w:rPr>
        <w:t xml:space="preserve">e </w:t>
      </w:r>
      <w:r w:rsidR="00B361C0">
        <w:rPr>
          <w:color w:val="000000" w:themeColor="text1"/>
        </w:rPr>
        <w:t>GRT</w:t>
      </w:r>
      <w:r w:rsidRPr="00DA2F93">
        <w:rPr>
          <w:color w:val="000000" w:themeColor="text1"/>
        </w:rPr>
        <w:t xml:space="preserve"> notifie par email avec accusé de réception au </w:t>
      </w:r>
      <w:r w:rsidR="00554628" w:rsidRPr="00DA2F93">
        <w:rPr>
          <w:color w:val="000000" w:themeColor="text1"/>
        </w:rPr>
        <w:t>Stockeur</w:t>
      </w:r>
      <w:r w:rsidRPr="00DA2F93">
        <w:rPr>
          <w:color w:val="000000" w:themeColor="text1"/>
        </w:rPr>
        <w:t xml:space="preserve"> tous les éléments relatifs aux événements </w:t>
      </w:r>
      <w:proofErr w:type="spellStart"/>
      <w:r w:rsidRPr="00DA2F93">
        <w:rPr>
          <w:color w:val="000000" w:themeColor="text1"/>
        </w:rPr>
        <w:t>pénalisables</w:t>
      </w:r>
      <w:proofErr w:type="spellEnd"/>
      <w:r w:rsidRPr="00DA2F93">
        <w:rPr>
          <w:color w:val="000000" w:themeColor="text1"/>
        </w:rPr>
        <w:t xml:space="preserve"> définis </w:t>
      </w:r>
      <w:r w:rsidRPr="00DA2F93">
        <w:rPr>
          <w:color w:val="000000" w:themeColor="text1"/>
          <w:szCs w:val="24"/>
        </w:rPr>
        <w:t xml:space="preserve">aux § </w:t>
      </w:r>
      <w:r w:rsidR="00C71C22" w:rsidRPr="00DA2F93">
        <w:fldChar w:fldCharType="begin"/>
      </w:r>
      <w:r w:rsidR="00C71C22" w:rsidRPr="00DA2F93">
        <w:instrText xml:space="preserve"> REF _Ref382469583 \r \h  \* MERGEFORMAT </w:instrText>
      </w:r>
      <w:r w:rsidR="00C71C22" w:rsidRPr="00DA2F93">
        <w:fldChar w:fldCharType="separate"/>
      </w:r>
      <w:r w:rsidR="0042414D" w:rsidRPr="000243CB">
        <w:rPr>
          <w:color w:val="000000" w:themeColor="text1"/>
          <w:szCs w:val="24"/>
        </w:rPr>
        <w:t>12.2</w:t>
      </w:r>
      <w:r w:rsidR="00C71C22" w:rsidRPr="00DA2F93">
        <w:fldChar w:fldCharType="end"/>
      </w:r>
      <w:r w:rsidRPr="00DA2F93">
        <w:rPr>
          <w:color w:val="000000" w:themeColor="text1"/>
          <w:szCs w:val="24"/>
        </w:rPr>
        <w:t xml:space="preserve"> à</w:t>
      </w:r>
      <w:r w:rsidR="00022C58" w:rsidRPr="00DA2F93">
        <w:t xml:space="preserve"> </w:t>
      </w:r>
      <w:r w:rsidR="007C1AAB" w:rsidRPr="00495BBE">
        <w:rPr>
          <w:szCs w:val="24"/>
        </w:rPr>
        <w:fldChar w:fldCharType="begin"/>
      </w:r>
      <w:r w:rsidR="007C1AAB" w:rsidRPr="00495BBE">
        <w:rPr>
          <w:szCs w:val="24"/>
        </w:rPr>
        <w:instrText xml:space="preserve"> REF _Ref108184126 \r \h </w:instrText>
      </w:r>
      <w:r w:rsidR="007C1AAB">
        <w:rPr>
          <w:szCs w:val="24"/>
        </w:rPr>
        <w:instrText xml:space="preserve"> \* MERGEFORMAT </w:instrText>
      </w:r>
      <w:r w:rsidR="007C1AAB" w:rsidRPr="00495BBE">
        <w:rPr>
          <w:szCs w:val="24"/>
        </w:rPr>
      </w:r>
      <w:r w:rsidR="007C1AAB" w:rsidRPr="00495BBE">
        <w:rPr>
          <w:szCs w:val="24"/>
        </w:rPr>
        <w:fldChar w:fldCharType="separate"/>
      </w:r>
      <w:r w:rsidR="007C1AAB">
        <w:rPr>
          <w:szCs w:val="24"/>
        </w:rPr>
        <w:t>12.7</w:t>
      </w:r>
      <w:r w:rsidR="007C1AAB" w:rsidRPr="00495BBE">
        <w:rPr>
          <w:szCs w:val="24"/>
        </w:rPr>
        <w:fldChar w:fldCharType="end"/>
      </w:r>
      <w:r w:rsidRPr="00DA2F93">
        <w:rPr>
          <w:color w:val="000000" w:themeColor="text1"/>
          <w:szCs w:val="24"/>
        </w:rPr>
        <w:t xml:space="preserve"> </w:t>
      </w:r>
      <w:r w:rsidRPr="00DA2F93">
        <w:rPr>
          <w:color w:val="000000" w:themeColor="text1"/>
        </w:rPr>
        <w:t xml:space="preserve">au fur et à mesure de leurs occurrences </w:t>
      </w:r>
      <w:r w:rsidR="00D7137F" w:rsidRPr="00DA2F93">
        <w:rPr>
          <w:szCs w:val="24"/>
        </w:rPr>
        <w:t xml:space="preserve">et </w:t>
      </w:r>
      <w:r w:rsidR="00A77553" w:rsidRPr="00DA2F93">
        <w:rPr>
          <w:color w:val="000000" w:themeColor="text1"/>
          <w:szCs w:val="24"/>
        </w:rPr>
        <w:t>au moins une fois par mois avant établ</w:t>
      </w:r>
      <w:r w:rsidR="006D0D08" w:rsidRPr="00DA2F93">
        <w:rPr>
          <w:color w:val="000000" w:themeColor="text1"/>
          <w:szCs w:val="24"/>
        </w:rPr>
        <w:t xml:space="preserve">issement de la facture </w:t>
      </w:r>
      <w:r w:rsidR="00A77553" w:rsidRPr="00DA2F93">
        <w:rPr>
          <w:color w:val="000000" w:themeColor="text1"/>
          <w:szCs w:val="24"/>
        </w:rPr>
        <w:t xml:space="preserve">dans les conditions prévues au § </w:t>
      </w:r>
      <w:r w:rsidR="00C71C22" w:rsidRPr="00DA2F93">
        <w:fldChar w:fldCharType="begin"/>
      </w:r>
      <w:r w:rsidR="00C71C22" w:rsidRPr="00DA2F93">
        <w:instrText xml:space="preserve"> REF _Ref427690008 \r \h  \* MERGEFORMAT </w:instrText>
      </w:r>
      <w:r w:rsidR="00C71C22" w:rsidRPr="00DA2F93">
        <w:fldChar w:fldCharType="separate"/>
      </w:r>
      <w:r w:rsidR="0042414D" w:rsidRPr="000243CB">
        <w:rPr>
          <w:color w:val="000000" w:themeColor="text1"/>
          <w:szCs w:val="24"/>
        </w:rPr>
        <w:t>16</w:t>
      </w:r>
      <w:r w:rsidR="00C71C22" w:rsidRPr="00DA2F93">
        <w:fldChar w:fldCharType="end"/>
      </w:r>
      <w:r w:rsidR="00D7137F" w:rsidRPr="00DA2F93">
        <w:rPr>
          <w:szCs w:val="24"/>
        </w:rPr>
        <w:t xml:space="preserve">. </w:t>
      </w:r>
      <w:r w:rsidR="00CB7937" w:rsidRPr="00DA2F93">
        <w:rPr>
          <w:szCs w:val="24"/>
        </w:rPr>
        <w:t xml:space="preserve">Le </w:t>
      </w:r>
      <w:r w:rsidR="00554628" w:rsidRPr="00DA2F93">
        <w:rPr>
          <w:szCs w:val="24"/>
        </w:rPr>
        <w:t>Stockeur</w:t>
      </w:r>
      <w:r w:rsidR="00CB7937" w:rsidRPr="00DA2F93">
        <w:rPr>
          <w:szCs w:val="24"/>
        </w:rPr>
        <w:t xml:space="preserve"> dispose de cinq jours </w:t>
      </w:r>
      <w:r w:rsidR="00523ADA" w:rsidRPr="00DA2F93">
        <w:rPr>
          <w:szCs w:val="24"/>
        </w:rPr>
        <w:t>ouvr</w:t>
      </w:r>
      <w:r w:rsidR="00523ADA">
        <w:rPr>
          <w:szCs w:val="24"/>
        </w:rPr>
        <w:t>é</w:t>
      </w:r>
      <w:r w:rsidR="00523ADA" w:rsidRPr="00DA2F93">
        <w:rPr>
          <w:szCs w:val="24"/>
        </w:rPr>
        <w:t xml:space="preserve">s </w:t>
      </w:r>
      <w:r w:rsidR="00CB7937" w:rsidRPr="00DA2F93">
        <w:rPr>
          <w:szCs w:val="24"/>
        </w:rPr>
        <w:t>à compter de la réception de ces informations pour les contester. En l’absence de contestation dans le délai imparti, le décompte transmis par l</w:t>
      </w:r>
      <w:r w:rsidR="00673CB8" w:rsidRPr="00DA2F93">
        <w:rPr>
          <w:szCs w:val="24"/>
        </w:rPr>
        <w:t xml:space="preserve">e </w:t>
      </w:r>
      <w:r w:rsidR="00B361C0">
        <w:rPr>
          <w:szCs w:val="24"/>
        </w:rPr>
        <w:t>GRT</w:t>
      </w:r>
      <w:r w:rsidR="00CB7937" w:rsidRPr="00DA2F93">
        <w:rPr>
          <w:szCs w:val="24"/>
        </w:rPr>
        <w:t xml:space="preserve"> est présumé accepté par le </w:t>
      </w:r>
      <w:r w:rsidR="00554628" w:rsidRPr="00DA2F93">
        <w:rPr>
          <w:szCs w:val="24"/>
        </w:rPr>
        <w:t>Stockeur</w:t>
      </w:r>
      <w:r w:rsidR="00CB7937" w:rsidRPr="00DA2F93">
        <w:rPr>
          <w:szCs w:val="24"/>
        </w:rPr>
        <w:t>.</w:t>
      </w:r>
    </w:p>
    <w:p w14:paraId="355F3FA4" w14:textId="3FD031BE" w:rsidR="00D7137F" w:rsidRPr="00DA2F93" w:rsidRDefault="00D7137F" w:rsidP="00D7137F">
      <w:pPr>
        <w:jc w:val="both"/>
        <w:rPr>
          <w:color w:val="000000" w:themeColor="text1"/>
        </w:rPr>
      </w:pPr>
      <w:r w:rsidRPr="00DA2F93">
        <w:rPr>
          <w:szCs w:val="24"/>
        </w:rPr>
        <w:t xml:space="preserve">En cas de désaccord, la procédure de règlement des différends prévue </w:t>
      </w:r>
      <w:r w:rsidR="007B6E0F" w:rsidRPr="00DA2F93">
        <w:rPr>
          <w:szCs w:val="24"/>
        </w:rPr>
        <w:t xml:space="preserve">au </w:t>
      </w:r>
      <w:r w:rsidR="007B6E0F" w:rsidRPr="00DA2F93">
        <w:rPr>
          <w:rFonts w:cs="Arial"/>
          <w:iCs/>
        </w:rPr>
        <w:t>§</w:t>
      </w:r>
      <w:r w:rsidRPr="00DA2F93">
        <w:rPr>
          <w:szCs w:val="24"/>
        </w:rPr>
        <w:t xml:space="preserve"> </w:t>
      </w:r>
      <w:r w:rsidR="00C71C22" w:rsidRPr="00DA2F93">
        <w:fldChar w:fldCharType="begin"/>
      </w:r>
      <w:r w:rsidR="00C71C22" w:rsidRPr="00DA2F93">
        <w:instrText xml:space="preserve"> REF _Ref382124315 \r \h  \* MERGEFORMAT </w:instrText>
      </w:r>
      <w:r w:rsidR="00C71C22" w:rsidRPr="00DA2F93">
        <w:fldChar w:fldCharType="separate"/>
      </w:r>
      <w:r w:rsidR="0042414D" w:rsidRPr="001E4AE7">
        <w:rPr>
          <w:szCs w:val="24"/>
        </w:rPr>
        <w:t>28</w:t>
      </w:r>
      <w:r w:rsidR="00C71C22" w:rsidRPr="00DA2F93">
        <w:fldChar w:fldCharType="end"/>
      </w:r>
      <w:r w:rsidRPr="00DA2F93">
        <w:t xml:space="preserve"> </w:t>
      </w:r>
      <w:r w:rsidRPr="00DA2F93">
        <w:rPr>
          <w:szCs w:val="24"/>
        </w:rPr>
        <w:t>s’applique.</w:t>
      </w:r>
    </w:p>
    <w:p w14:paraId="4BF6E203" w14:textId="77777777" w:rsidR="00D64324" w:rsidRPr="00DA2F93" w:rsidRDefault="00D64324" w:rsidP="00D64324">
      <w:pPr>
        <w:jc w:val="both"/>
        <w:rPr>
          <w:color w:val="000000" w:themeColor="text1"/>
        </w:rPr>
      </w:pPr>
    </w:p>
    <w:p w14:paraId="2A7A5A16" w14:textId="206E9C6D" w:rsidR="00332D87" w:rsidRPr="00DA2F93" w:rsidRDefault="00D7137F">
      <w:pPr>
        <w:jc w:val="both"/>
        <w:rPr>
          <w:szCs w:val="24"/>
        </w:rPr>
      </w:pPr>
      <w:r w:rsidRPr="00DA2F93">
        <w:rPr>
          <w:szCs w:val="24"/>
        </w:rPr>
        <w:t xml:space="preserve">Le Montant Unitaire pour le calcul des Pénalités (MUP) est de </w:t>
      </w:r>
      <w:r w:rsidR="00A60F2C">
        <w:rPr>
          <w:b/>
        </w:rPr>
        <w:t>15</w:t>
      </w:r>
      <w:r w:rsidR="00065772">
        <w:rPr>
          <w:b/>
        </w:rPr>
        <w:t xml:space="preserve"> 000</w:t>
      </w:r>
      <w:r w:rsidR="0029533A" w:rsidRPr="00DA2F93">
        <w:rPr>
          <w:b/>
        </w:rPr>
        <w:t xml:space="preserve"> </w:t>
      </w:r>
      <w:r w:rsidR="003A3709">
        <w:rPr>
          <w:b/>
          <w:szCs w:val="24"/>
        </w:rPr>
        <w:t>Francs CFP</w:t>
      </w:r>
      <w:r w:rsidR="00A60F2C">
        <w:rPr>
          <w:b/>
          <w:szCs w:val="24"/>
        </w:rPr>
        <w:t xml:space="preserve"> / </w:t>
      </w:r>
      <w:proofErr w:type="spellStart"/>
      <w:r w:rsidR="00065772">
        <w:rPr>
          <w:b/>
          <w:szCs w:val="24"/>
        </w:rPr>
        <w:t>M</w:t>
      </w:r>
      <w:r w:rsidR="00A60F2C">
        <w:rPr>
          <w:b/>
          <w:szCs w:val="24"/>
        </w:rPr>
        <w:t>Wh</w:t>
      </w:r>
      <w:proofErr w:type="spellEnd"/>
      <w:r w:rsidR="00435A88" w:rsidRPr="00DA2F93">
        <w:rPr>
          <w:szCs w:val="24"/>
        </w:rPr>
        <w:t xml:space="preserve"> </w:t>
      </w:r>
    </w:p>
    <w:p w14:paraId="32DEC447" w14:textId="77777777" w:rsidR="00703A34" w:rsidRPr="00DA2F93" w:rsidRDefault="00703A34" w:rsidP="00D7137F">
      <w:pPr>
        <w:jc w:val="both"/>
        <w:rPr>
          <w:b/>
          <w:szCs w:val="24"/>
        </w:rPr>
      </w:pPr>
    </w:p>
    <w:p w14:paraId="271C99CF" w14:textId="48DC613A" w:rsidR="00D7137F" w:rsidRPr="00DA2F93" w:rsidRDefault="00D7137F" w:rsidP="00D7137F">
      <w:pPr>
        <w:jc w:val="both"/>
        <w:rPr>
          <w:b/>
          <w:szCs w:val="24"/>
        </w:rPr>
      </w:pPr>
      <w:r w:rsidRPr="00DA2F93">
        <w:rPr>
          <w:b/>
          <w:szCs w:val="24"/>
        </w:rPr>
        <w:t xml:space="preserve">Le </w:t>
      </w:r>
      <w:r w:rsidR="00430DFE" w:rsidRPr="00DA2F93">
        <w:rPr>
          <w:b/>
          <w:szCs w:val="24"/>
        </w:rPr>
        <w:t xml:space="preserve">montant </w:t>
      </w:r>
      <w:r w:rsidRPr="00DA2F93">
        <w:rPr>
          <w:b/>
          <w:szCs w:val="24"/>
        </w:rPr>
        <w:t xml:space="preserve">total des pénalités définies aux § </w:t>
      </w:r>
      <w:r w:rsidR="00C71C22" w:rsidRPr="00DA2F93">
        <w:fldChar w:fldCharType="begin"/>
      </w:r>
      <w:r w:rsidR="00C71C22" w:rsidRPr="00DA2F93">
        <w:instrText xml:space="preserve"> REF _Ref382469583 \r \h  \* MERGEFORMAT </w:instrText>
      </w:r>
      <w:r w:rsidR="00C71C22" w:rsidRPr="00DA2F93">
        <w:fldChar w:fldCharType="separate"/>
      </w:r>
      <w:r w:rsidR="0042414D" w:rsidRPr="000243CB">
        <w:rPr>
          <w:b/>
          <w:szCs w:val="24"/>
        </w:rPr>
        <w:t>12.2</w:t>
      </w:r>
      <w:r w:rsidR="00C71C22" w:rsidRPr="00DA2F93">
        <w:fldChar w:fldCharType="end"/>
      </w:r>
      <w:r w:rsidRPr="00DA2F93">
        <w:rPr>
          <w:b/>
          <w:szCs w:val="24"/>
        </w:rPr>
        <w:t xml:space="preserve"> à </w:t>
      </w:r>
      <w:r w:rsidR="005D7F54">
        <w:rPr>
          <w:b/>
          <w:szCs w:val="24"/>
        </w:rPr>
        <w:fldChar w:fldCharType="begin"/>
      </w:r>
      <w:r w:rsidR="005D7F54">
        <w:rPr>
          <w:b/>
          <w:szCs w:val="24"/>
        </w:rPr>
        <w:instrText xml:space="preserve"> REF _Ref493852278 \r \h </w:instrText>
      </w:r>
      <w:r w:rsidR="005D7F54">
        <w:rPr>
          <w:b/>
          <w:szCs w:val="24"/>
        </w:rPr>
      </w:r>
      <w:r w:rsidR="005D7F54">
        <w:rPr>
          <w:b/>
          <w:szCs w:val="24"/>
        </w:rPr>
        <w:fldChar w:fldCharType="separate"/>
      </w:r>
      <w:r w:rsidR="0042414D">
        <w:rPr>
          <w:b/>
          <w:szCs w:val="24"/>
        </w:rPr>
        <w:t>1</w:t>
      </w:r>
      <w:r w:rsidR="005D7F54">
        <w:rPr>
          <w:b/>
          <w:szCs w:val="24"/>
        </w:rPr>
        <w:fldChar w:fldCharType="end"/>
      </w:r>
      <w:r w:rsidRPr="00DA2F93">
        <w:rPr>
          <w:b/>
          <w:szCs w:val="24"/>
        </w:rPr>
        <w:t xml:space="preserve"> pour une année civile </w:t>
      </w:r>
      <w:r w:rsidR="007F1399" w:rsidRPr="00DA2F93">
        <w:rPr>
          <w:b/>
          <w:szCs w:val="24"/>
        </w:rPr>
        <w:t xml:space="preserve">N </w:t>
      </w:r>
      <w:r w:rsidRPr="00DA2F93">
        <w:rPr>
          <w:b/>
          <w:szCs w:val="24"/>
        </w:rPr>
        <w:t>ne peut pas dépasser</w:t>
      </w:r>
      <w:r w:rsidR="00A7616E" w:rsidRPr="00DA2F93">
        <w:rPr>
          <w:b/>
          <w:szCs w:val="24"/>
        </w:rPr>
        <w:t>:</w:t>
      </w:r>
    </w:p>
    <w:p w14:paraId="0F454EA7" w14:textId="498AD70B" w:rsidR="007F1399" w:rsidRPr="00DA2F93" w:rsidRDefault="000C2976" w:rsidP="00A7616E">
      <w:pPr>
        <w:jc w:val="center"/>
        <w:rPr>
          <w:b/>
          <w:color w:val="000000" w:themeColor="text1"/>
          <w:szCs w:val="24"/>
        </w:rPr>
      </w:pPr>
      <w:r w:rsidRPr="00DA2F93">
        <w:rPr>
          <w:color w:val="000000" w:themeColor="text1"/>
        </w:rPr>
        <w:t>Plafond_Pénalités</w:t>
      </w:r>
      <w:r w:rsidR="004B75D2" w:rsidRPr="00DA2F93">
        <w:rPr>
          <w:color w:val="000000" w:themeColor="text1"/>
          <w:vertAlign w:val="subscript"/>
        </w:rPr>
        <w:t>0</w:t>
      </w:r>
      <w:r w:rsidRPr="00DA2F93">
        <w:rPr>
          <w:color w:val="000000" w:themeColor="text1"/>
        </w:rPr>
        <w:t xml:space="preserve"> = </w:t>
      </w:r>
      <w:r w:rsidR="002E7B5A">
        <w:rPr>
          <w:b/>
          <w:color w:val="000000" w:themeColor="text1"/>
        </w:rPr>
        <w:t>1</w:t>
      </w:r>
      <w:r w:rsidRPr="00DA2F93">
        <w:rPr>
          <w:b/>
          <w:color w:val="000000" w:themeColor="text1"/>
        </w:rPr>
        <w:t xml:space="preserve">0 % de la Prime de Puissance Garantie de référence </w:t>
      </w:r>
      <w:r w:rsidR="007F1399" w:rsidRPr="00DA2F93">
        <w:rPr>
          <w:b/>
          <w:color w:val="000000" w:themeColor="text1"/>
        </w:rPr>
        <w:t>de l’année N telle que définit</w:t>
      </w:r>
      <w:r w:rsidR="00433795" w:rsidRPr="00DA2F93">
        <w:rPr>
          <w:b/>
          <w:color w:val="000000" w:themeColor="text1"/>
          <w:szCs w:val="24"/>
        </w:rPr>
        <w:t xml:space="preserve"> au </w:t>
      </w:r>
      <w:r w:rsidR="00433795" w:rsidRPr="00DA2F93">
        <w:rPr>
          <w:b/>
          <w:szCs w:val="24"/>
        </w:rPr>
        <w:t>§</w:t>
      </w:r>
      <w:r w:rsidR="00E44A1E" w:rsidRPr="00DA2F93">
        <w:rPr>
          <w:b/>
          <w:szCs w:val="24"/>
        </w:rPr>
        <w:fldChar w:fldCharType="begin"/>
      </w:r>
      <w:r w:rsidR="007F1399" w:rsidRPr="00DA2F93">
        <w:rPr>
          <w:b/>
          <w:szCs w:val="24"/>
        </w:rPr>
        <w:instrText xml:space="preserve"> REF _Ref491350697 \r \h </w:instrText>
      </w:r>
      <w:r w:rsidR="00DA2F93" w:rsidRPr="00DA2F93">
        <w:rPr>
          <w:b/>
          <w:szCs w:val="24"/>
        </w:rPr>
        <w:instrText xml:space="preserve"> \* MERGEFORMAT </w:instrText>
      </w:r>
      <w:r w:rsidR="00E44A1E" w:rsidRPr="00DA2F93">
        <w:rPr>
          <w:b/>
          <w:szCs w:val="24"/>
        </w:rPr>
      </w:r>
      <w:r w:rsidR="00E44A1E" w:rsidRPr="00DA2F93">
        <w:rPr>
          <w:b/>
          <w:szCs w:val="24"/>
        </w:rPr>
        <w:fldChar w:fldCharType="separate"/>
      </w:r>
      <w:r w:rsidR="0042414D">
        <w:rPr>
          <w:b/>
          <w:szCs w:val="24"/>
        </w:rPr>
        <w:t>9</w:t>
      </w:r>
      <w:r w:rsidR="00E44A1E" w:rsidRPr="00DA2F93">
        <w:rPr>
          <w:b/>
          <w:szCs w:val="24"/>
        </w:rPr>
        <w:fldChar w:fldCharType="end"/>
      </w:r>
    </w:p>
    <w:p w14:paraId="27E7039A" w14:textId="40C915BB" w:rsidR="00D7137F" w:rsidRDefault="007F1399" w:rsidP="00D7137F">
      <w:pPr>
        <w:jc w:val="both"/>
        <w:rPr>
          <w:rFonts w:cs="Arial"/>
        </w:rPr>
      </w:pPr>
      <w:r w:rsidRPr="00DA2F93">
        <w:rPr>
          <w:rFonts w:cs="Arial"/>
        </w:rPr>
        <w:t>S</w:t>
      </w:r>
      <w:r w:rsidR="00E44A1E" w:rsidRPr="005E0625">
        <w:rPr>
          <w:rFonts w:cs="Arial"/>
        </w:rPr>
        <w:t>oit</w:t>
      </w:r>
      <w:r w:rsidRPr="00DA2F93">
        <w:rPr>
          <w:rFonts w:cs="Arial"/>
        </w:rPr>
        <w:t xml:space="preserve"> </w:t>
      </w:r>
      <w:r w:rsidRPr="000243CB">
        <w:rPr>
          <w:rFonts w:cs="Arial"/>
          <w:highlight w:val="lightGray"/>
        </w:rPr>
        <w:t>XXXX</w:t>
      </w:r>
      <w:r w:rsidRPr="00DA2F93">
        <w:rPr>
          <w:rFonts w:cs="Arial"/>
        </w:rPr>
        <w:t xml:space="preserve"> </w:t>
      </w:r>
      <w:r w:rsidR="003A3709">
        <w:rPr>
          <w:rFonts w:cs="Arial"/>
        </w:rPr>
        <w:t>F CFP</w:t>
      </w:r>
      <w:r w:rsidRPr="00DA2F93">
        <w:rPr>
          <w:rFonts w:cs="Arial"/>
        </w:rPr>
        <w:t xml:space="preserve"> HT pour la première année du contrat.</w:t>
      </w:r>
    </w:p>
    <w:p w14:paraId="29BBDE4F" w14:textId="77777777" w:rsidR="006A30DA" w:rsidRPr="00DA2F93" w:rsidRDefault="006A30DA" w:rsidP="00D7137F">
      <w:pPr>
        <w:jc w:val="both"/>
        <w:rPr>
          <w:rFonts w:cs="Arial"/>
        </w:rPr>
      </w:pPr>
    </w:p>
    <w:p w14:paraId="6481FA71" w14:textId="7D53742E" w:rsidR="00D7137F" w:rsidRPr="00DA2F93" w:rsidRDefault="00D7137F" w:rsidP="00D7137F">
      <w:pPr>
        <w:pStyle w:val="EDFTitre2"/>
        <w:jc w:val="both"/>
      </w:pPr>
      <w:bookmarkStart w:id="231" w:name="_Ref382469472"/>
      <w:bookmarkStart w:id="232" w:name="_Ref382469583"/>
      <w:bookmarkStart w:id="233" w:name="_Toc394668254"/>
      <w:bookmarkStart w:id="234" w:name="_Toc110436472"/>
      <w:bookmarkStart w:id="235" w:name="_Toc108113955"/>
      <w:r w:rsidRPr="00DA2F93">
        <w:t>Indisponibilité annoncée « IA »</w:t>
      </w:r>
      <w:bookmarkEnd w:id="231"/>
      <w:bookmarkEnd w:id="232"/>
      <w:bookmarkEnd w:id="233"/>
      <w:bookmarkEnd w:id="234"/>
      <w:r w:rsidR="00F33E34" w:rsidRPr="00DA2F93">
        <w:t xml:space="preserve"> </w:t>
      </w:r>
      <w:bookmarkEnd w:id="235"/>
    </w:p>
    <w:p w14:paraId="6971B689" w14:textId="059D1355" w:rsidR="00D7137F" w:rsidRDefault="00D7137F" w:rsidP="00D7137F">
      <w:pPr>
        <w:jc w:val="both"/>
      </w:pPr>
      <w:r w:rsidRPr="00DA2F93">
        <w:t xml:space="preserve">Le </w:t>
      </w:r>
      <w:r w:rsidR="00554628" w:rsidRPr="00DA2F93">
        <w:t>Stockeur</w:t>
      </w:r>
      <w:r w:rsidRPr="00DA2F93">
        <w:t xml:space="preserve"> doit être </w:t>
      </w:r>
      <w:r w:rsidR="00995D39" w:rsidRPr="00DA2F93">
        <w:t xml:space="preserve">disponible </w:t>
      </w:r>
      <w:r w:rsidRPr="00DA2F93">
        <w:t xml:space="preserve">conformément au planning hebdomadaire de disponibilité défini au </w:t>
      </w:r>
      <w:r w:rsidR="007421FA" w:rsidRPr="00DA2F93">
        <w:t>§ </w:t>
      </w:r>
      <w:r w:rsidR="00C71C22" w:rsidRPr="00DA2F93">
        <w:fldChar w:fldCharType="begin"/>
      </w:r>
      <w:r w:rsidR="00C71C22" w:rsidRPr="00DA2F93">
        <w:instrText xml:space="preserve"> REF _Ref382469776 \r \h  \* MERGEFORMAT </w:instrText>
      </w:r>
      <w:r w:rsidR="00C71C22" w:rsidRPr="00DA2F93">
        <w:fldChar w:fldCharType="separate"/>
      </w:r>
      <w:r w:rsidR="0042414D">
        <w:t>10.2</w:t>
      </w:r>
      <w:r w:rsidR="00C71C22" w:rsidRPr="00DA2F93">
        <w:fldChar w:fldCharType="end"/>
      </w:r>
      <w:r w:rsidRPr="00DA2F93">
        <w:t xml:space="preserve">. </w:t>
      </w:r>
    </w:p>
    <w:p w14:paraId="2962FAB4" w14:textId="77777777" w:rsidR="00855A5D" w:rsidRPr="00DA2F93" w:rsidRDefault="00855A5D" w:rsidP="00D7137F">
      <w:pPr>
        <w:jc w:val="both"/>
      </w:pPr>
    </w:p>
    <w:p w14:paraId="4A749EC7" w14:textId="4686CD67" w:rsidR="00D46064" w:rsidRPr="00DA2F93" w:rsidRDefault="00D7137F" w:rsidP="00D7137F">
      <w:pPr>
        <w:jc w:val="both"/>
        <w:rPr>
          <w:color w:val="000000" w:themeColor="text1"/>
        </w:rPr>
      </w:pPr>
      <w:r w:rsidRPr="00DA2F93">
        <w:t>Si</w:t>
      </w:r>
      <w:r w:rsidR="00284BB0" w:rsidRPr="00DA2F93">
        <w:t>,</w:t>
      </w:r>
      <w:r w:rsidRPr="00DA2F93">
        <w:t xml:space="preserve"> pour des </w:t>
      </w:r>
      <w:r w:rsidR="00B82613" w:rsidRPr="00DA2F93">
        <w:t xml:space="preserve">raisons qui lui sont propres, le </w:t>
      </w:r>
      <w:r w:rsidR="00554628" w:rsidRPr="00DA2F93">
        <w:t>Stockeur</w:t>
      </w:r>
      <w:r w:rsidRPr="00DA2F93">
        <w:t xml:space="preserve"> ne peut </w:t>
      </w:r>
      <w:r w:rsidR="00995D39" w:rsidRPr="00DA2F93">
        <w:t xml:space="preserve">pas </w:t>
      </w:r>
      <w:r w:rsidRPr="00DA2F93">
        <w:t>être disponible aux jours prévus, ou seulement partiellement, il prévient l</w:t>
      </w:r>
      <w:r w:rsidR="00673CB8" w:rsidRPr="00DA2F93">
        <w:t xml:space="preserve">e </w:t>
      </w:r>
      <w:r w:rsidR="00B361C0">
        <w:t>GRT</w:t>
      </w:r>
      <w:r w:rsidRPr="00DA2F93">
        <w:rPr>
          <w:szCs w:val="28"/>
        </w:rPr>
        <w:t xml:space="preserve"> </w:t>
      </w:r>
      <w:r w:rsidRPr="00DA2F93">
        <w:t xml:space="preserve">par </w:t>
      </w:r>
      <w:r w:rsidR="007F1399" w:rsidRPr="00DA2F93">
        <w:t>un moyen précis</w:t>
      </w:r>
      <w:r w:rsidR="00995D39" w:rsidRPr="00DA2F93">
        <w:t>é</w:t>
      </w:r>
      <w:r w:rsidR="007F1399" w:rsidRPr="00DA2F93">
        <w:t xml:space="preserve"> dans la </w:t>
      </w:r>
      <w:r w:rsidR="00502B79">
        <w:t xml:space="preserve">Convention de Raccordement et d’Exploitation </w:t>
      </w:r>
      <w:r w:rsidR="00995D39" w:rsidRPr="00DA2F93">
        <w:t xml:space="preserve">dès qu’il en a connaissance et au plus tard </w:t>
      </w:r>
      <w:r w:rsidR="007E5C27" w:rsidRPr="00DA2F93">
        <w:t xml:space="preserve">la veille du </w:t>
      </w:r>
      <w:r w:rsidR="00D46064" w:rsidRPr="00DA2F93">
        <w:t xml:space="preserve">premier </w:t>
      </w:r>
      <w:r w:rsidR="007E5C27" w:rsidRPr="00DA2F93">
        <w:t xml:space="preserve">jour de </w:t>
      </w:r>
      <w:r w:rsidR="00D46064" w:rsidRPr="00DA2F93">
        <w:lastRenderedPageBreak/>
        <w:t>la période d’</w:t>
      </w:r>
      <w:r w:rsidR="007E5C27" w:rsidRPr="00DA2F93">
        <w:rPr>
          <w:color w:val="000000" w:themeColor="text1"/>
        </w:rPr>
        <w:t xml:space="preserve">indisponibilité avant </w:t>
      </w:r>
      <w:r w:rsidR="000C5A6A" w:rsidRPr="00DA2F93">
        <w:rPr>
          <w:color w:val="000000" w:themeColor="text1"/>
        </w:rPr>
        <w:t>16</w:t>
      </w:r>
      <w:r w:rsidR="00680E8E" w:rsidRPr="00DA2F93">
        <w:rPr>
          <w:color w:val="000000" w:themeColor="text1"/>
        </w:rPr>
        <w:t xml:space="preserve"> h</w:t>
      </w:r>
      <w:r w:rsidR="00D46064" w:rsidRPr="00DA2F93">
        <w:rPr>
          <w:color w:val="000000" w:themeColor="text1"/>
        </w:rPr>
        <w:t>, en précisant la durée prévisionnelle</w:t>
      </w:r>
      <w:r w:rsidRPr="00DA2F93">
        <w:rPr>
          <w:color w:val="000000" w:themeColor="text1"/>
        </w:rPr>
        <w:t xml:space="preserve">. </w:t>
      </w:r>
      <w:r w:rsidR="00707CA2" w:rsidRPr="00DA2F93">
        <w:rPr>
          <w:color w:val="000000" w:themeColor="text1"/>
        </w:rPr>
        <w:t xml:space="preserve">Le </w:t>
      </w:r>
      <w:r w:rsidR="00554628" w:rsidRPr="00DA2F93">
        <w:rPr>
          <w:color w:val="000000" w:themeColor="text1"/>
        </w:rPr>
        <w:t>Stockeur</w:t>
      </w:r>
      <w:r w:rsidR="00D46064" w:rsidRPr="00DA2F93">
        <w:rPr>
          <w:color w:val="000000" w:themeColor="text1"/>
        </w:rPr>
        <w:t xml:space="preserve"> prévient l</w:t>
      </w:r>
      <w:r w:rsidR="00673CB8" w:rsidRPr="00DA2F93">
        <w:rPr>
          <w:color w:val="000000" w:themeColor="text1"/>
        </w:rPr>
        <w:t xml:space="preserve">e </w:t>
      </w:r>
      <w:r w:rsidR="00B361C0">
        <w:rPr>
          <w:color w:val="000000" w:themeColor="text1"/>
        </w:rPr>
        <w:t>GRT</w:t>
      </w:r>
      <w:r w:rsidR="00D46064" w:rsidRPr="00DA2F93">
        <w:rPr>
          <w:color w:val="000000" w:themeColor="text1"/>
        </w:rPr>
        <w:t xml:space="preserve"> dans les mêmes conditions si la période prévisionnelle </w:t>
      </w:r>
      <w:r w:rsidR="00E528A5" w:rsidRPr="00DA2F93">
        <w:rPr>
          <w:color w:val="000000" w:themeColor="text1"/>
        </w:rPr>
        <w:t xml:space="preserve">d’indisponibilité </w:t>
      </w:r>
      <w:r w:rsidR="00D46064" w:rsidRPr="00DA2F93">
        <w:rPr>
          <w:color w:val="000000" w:themeColor="text1"/>
        </w:rPr>
        <w:t>doit être prolongée.</w:t>
      </w:r>
    </w:p>
    <w:p w14:paraId="76FC1F8B" w14:textId="77777777" w:rsidR="00D7137F" w:rsidRPr="00DA2F93" w:rsidRDefault="00D7137F" w:rsidP="00D7137F">
      <w:pPr>
        <w:jc w:val="both"/>
        <w:rPr>
          <w:color w:val="000000" w:themeColor="text1"/>
        </w:rPr>
      </w:pPr>
      <w:r w:rsidRPr="00DA2F93">
        <w:rPr>
          <w:color w:val="000000" w:themeColor="text1"/>
        </w:rPr>
        <w:t>Dans ce</w:t>
      </w:r>
      <w:r w:rsidRPr="00DA2F93">
        <w:rPr>
          <w:color w:val="C0504D" w:themeColor="accent2"/>
        </w:rPr>
        <w:t xml:space="preserve"> </w:t>
      </w:r>
      <w:r w:rsidRPr="00DA2F93">
        <w:rPr>
          <w:color w:val="000000" w:themeColor="text1"/>
        </w:rPr>
        <w:t xml:space="preserve">cas, le </w:t>
      </w:r>
      <w:r w:rsidR="00554628" w:rsidRPr="00DA2F93">
        <w:rPr>
          <w:color w:val="000000" w:themeColor="text1"/>
        </w:rPr>
        <w:t>Stockeur</w:t>
      </w:r>
      <w:r w:rsidRPr="00DA2F93">
        <w:rPr>
          <w:color w:val="000000" w:themeColor="text1"/>
        </w:rPr>
        <w:t xml:space="preserve"> sera redevable d’une pénalité (P</w:t>
      </w:r>
      <w:r w:rsidRPr="00DA2F93">
        <w:rPr>
          <w:color w:val="000000" w:themeColor="text1"/>
          <w:vertAlign w:val="subscript"/>
        </w:rPr>
        <w:t>IA</w:t>
      </w:r>
      <w:r w:rsidRPr="00DA2F93">
        <w:rPr>
          <w:color w:val="000000" w:themeColor="text1"/>
        </w:rPr>
        <w:t>) calculée d’après la formule suivante :</w:t>
      </w:r>
    </w:p>
    <w:p w14:paraId="4152FCE0" w14:textId="2D8ABA7B" w:rsidR="00D7137F" w:rsidRPr="00EA3249" w:rsidRDefault="00A775B6" w:rsidP="000243CB">
      <w:pPr>
        <w:jc w:val="center"/>
        <w:rPr>
          <w:rFonts w:cs="Arial"/>
          <w:b/>
          <w:bCs/>
          <w:color w:val="000000" w:themeColor="text1"/>
        </w:rPr>
      </w:pPr>
      <m:oMathPara>
        <m:oMath>
          <m:sSub>
            <m:sSubPr>
              <m:ctrlPr>
                <w:rPr>
                  <w:rFonts w:ascii="Cambria Math" w:hAnsi="Cambria Math" w:cs="Arial"/>
                  <w:b/>
                  <w:bCs/>
                  <w:i/>
                </w:rPr>
              </m:ctrlPr>
            </m:sSubPr>
            <m:e>
              <m:r>
                <m:rPr>
                  <m:sty m:val="bi"/>
                </m:rPr>
                <w:rPr>
                  <w:rFonts w:ascii="Cambria Math" w:hAnsi="Cambria Math" w:cs="Arial"/>
                </w:rPr>
                <m:t>P</m:t>
              </m:r>
            </m:e>
            <m:sub>
              <m:r>
                <m:rPr>
                  <m:sty m:val="bi"/>
                </m:rPr>
                <w:rPr>
                  <w:rFonts w:ascii="Cambria Math" w:hAnsi="Cambria Math" w:cs="Arial"/>
                </w:rPr>
                <m:t>IA</m:t>
              </m:r>
            </m:sub>
          </m:sSub>
          <m:r>
            <m:rPr>
              <m:sty m:val="bi"/>
            </m:rPr>
            <w:rPr>
              <w:rFonts w:ascii="Cambria Math" w:hAnsi="Cambria Math" w:cs="Arial"/>
            </w:rPr>
            <m:t>=</m:t>
          </m:r>
          <m:r>
            <m:rPr>
              <m:sty m:val="b"/>
            </m:rPr>
            <w:rPr>
              <w:rFonts w:ascii="Cambria Math" w:hAnsi="Cambria Math" w:cs="Arial"/>
              <w:color w:val="000000" w:themeColor="text1"/>
            </w:rPr>
            <m:t xml:space="preserve">puissance active maximale </m:t>
          </m:r>
          <m:sSup>
            <m:sSupPr>
              <m:ctrlPr>
                <w:rPr>
                  <w:rFonts w:ascii="Cambria Math" w:hAnsi="Cambria Math" w:cs="Arial"/>
                  <w:b/>
                  <w:color w:val="000000" w:themeColor="text1"/>
                </w:rPr>
              </m:ctrlPr>
            </m:sSupPr>
            <m:e>
              <m:r>
                <m:rPr>
                  <m:sty m:val="b"/>
                </m:rPr>
                <w:rPr>
                  <w:rFonts w:ascii="Cambria Math" w:hAnsi="Cambria Math" w:cs="Arial"/>
                  <w:color w:val="000000" w:themeColor="text1"/>
                </w:rPr>
                <m:t>d</m:t>
              </m:r>
            </m:e>
            <m:sup>
              <m:r>
                <m:rPr>
                  <m:sty m:val="b"/>
                </m:rPr>
                <w:rPr>
                  <w:rFonts w:ascii="Cambria Math" w:hAnsi="Cambria Math" w:cs="Arial"/>
                  <w:color w:val="000000" w:themeColor="text1"/>
                </w:rPr>
                <m:t>'</m:t>
              </m:r>
            </m:sup>
          </m:sSup>
          <m:r>
            <m:rPr>
              <m:sty m:val="b"/>
            </m:rPr>
            <w:rPr>
              <w:rFonts w:ascii="Cambria Math" w:hAnsi="Cambria Math" w:cs="Arial"/>
              <w:color w:val="000000" w:themeColor="text1"/>
            </w:rPr>
            <m:t>injection déclar</m:t>
          </m:r>
          <m:r>
            <m:rPr>
              <m:sty m:val="b"/>
            </m:rPr>
            <w:rPr>
              <w:rFonts w:ascii="Cambria Math" w:hAnsi="Cambria Math" w:cs="Arial" w:hint="eastAsia"/>
              <w:color w:val="000000" w:themeColor="text1"/>
            </w:rPr>
            <m:t>é</m:t>
          </m:r>
          <m:r>
            <m:rPr>
              <m:sty m:val="b"/>
            </m:rPr>
            <w:rPr>
              <w:rFonts w:ascii="Cambria Math" w:hAnsi="Cambria Math" w:cs="Arial"/>
              <w:color w:val="000000" w:themeColor="text1"/>
            </w:rPr>
            <m:t>e au planning hebdomadaire</m:t>
          </m:r>
          <m:r>
            <m:rPr>
              <m:sty m:val="bi"/>
            </m:rPr>
            <w:rPr>
              <w:rFonts w:ascii="Cambria Math" w:hAnsi="Cambria Math" w:cs="Arial" w:hint="eastAsia"/>
            </w:rPr>
            <m:t>×</m:t>
          </m:r>
          <m:r>
            <m:rPr>
              <m:sty m:val="bi"/>
            </m:rPr>
            <w:rPr>
              <w:rFonts w:ascii="Cambria Math" w:hAnsi="Cambria Math" w:cs="Arial"/>
            </w:rPr>
            <m:t>dur</m:t>
          </m:r>
          <m:r>
            <m:rPr>
              <m:sty m:val="bi"/>
            </m:rPr>
            <w:rPr>
              <w:rFonts w:ascii="Cambria Math" w:hAnsi="Cambria Math" w:cs="Arial" w:hint="eastAsia"/>
            </w:rPr>
            <m:t>é</m:t>
          </m:r>
          <m:r>
            <m:rPr>
              <m:sty m:val="bi"/>
            </m:rPr>
            <w:rPr>
              <w:rFonts w:ascii="Cambria Math" w:hAnsi="Cambria Math" w:cs="Arial"/>
            </w:rPr>
            <m:t>e d'indisponibilit</m:t>
          </m:r>
          <m:r>
            <m:rPr>
              <m:sty m:val="bi"/>
            </m:rPr>
            <w:rPr>
              <w:rFonts w:ascii="Cambria Math" w:hAnsi="Cambria Math" w:cs="Arial" w:hint="eastAsia"/>
            </w:rPr>
            <m:t>é</m:t>
          </m:r>
          <m:r>
            <m:rPr>
              <m:sty m:val="bi"/>
            </m:rPr>
            <w:rPr>
              <w:rFonts w:ascii="Cambria Math" w:hAnsi="Cambria Math" w:cs="Arial"/>
            </w:rPr>
            <m:t xml:space="preserve"> </m:t>
          </m:r>
          <m:d>
            <m:dPr>
              <m:ctrlPr>
                <w:rPr>
                  <w:rFonts w:ascii="Cambria Math" w:hAnsi="Cambria Math" w:cs="Arial"/>
                  <w:b/>
                  <w:bCs/>
                  <w:i/>
                </w:rPr>
              </m:ctrlPr>
            </m:dPr>
            <m:e>
              <m:r>
                <m:rPr>
                  <m:sty m:val="bi"/>
                </m:rPr>
                <w:rPr>
                  <w:rFonts w:ascii="Cambria Math" w:hAnsi="Cambria Math" w:cs="Arial"/>
                </w:rPr>
                <m:t>en heures</m:t>
              </m:r>
            </m:e>
          </m:d>
          <m:r>
            <m:rPr>
              <m:sty m:val="bi"/>
            </m:rPr>
            <w:rPr>
              <w:rFonts w:ascii="Cambria Math" w:hAnsi="Cambria Math" w:cs="Arial"/>
            </w:rPr>
            <m:t>×0,5× MUP</m:t>
          </m:r>
        </m:oMath>
      </m:oMathPara>
    </w:p>
    <w:p w14:paraId="4567CB66" w14:textId="77777777" w:rsidR="00D7137F" w:rsidRPr="00DA2F93" w:rsidRDefault="00D7137F" w:rsidP="00D7137F">
      <w:pPr>
        <w:jc w:val="both"/>
        <w:rPr>
          <w:color w:val="000000" w:themeColor="text1"/>
        </w:rPr>
      </w:pPr>
    </w:p>
    <w:p w14:paraId="39F2CF03" w14:textId="6CBB2D6A" w:rsidR="00D7137F" w:rsidRPr="00DA2F93" w:rsidRDefault="00D7137F" w:rsidP="00D7137F">
      <w:pPr>
        <w:jc w:val="both"/>
        <w:rPr>
          <w:color w:val="000000" w:themeColor="text1"/>
        </w:rPr>
      </w:pPr>
      <w:r w:rsidRPr="00DA2F93">
        <w:rPr>
          <w:color w:val="000000" w:themeColor="text1"/>
        </w:rPr>
        <w:t xml:space="preserve">La pénalité est due </w:t>
      </w:r>
      <w:r w:rsidR="00703A34" w:rsidRPr="00DA2F93">
        <w:rPr>
          <w:color w:val="000000" w:themeColor="text1"/>
        </w:rPr>
        <w:t>dès la première</w:t>
      </w:r>
      <w:r w:rsidRPr="00DA2F93">
        <w:rPr>
          <w:color w:val="000000" w:themeColor="text1"/>
        </w:rPr>
        <w:t xml:space="preserve"> occurrence de l’événement </w:t>
      </w:r>
      <w:proofErr w:type="spellStart"/>
      <w:r w:rsidRPr="00DA2F93">
        <w:rPr>
          <w:color w:val="000000" w:themeColor="text1"/>
        </w:rPr>
        <w:t>pénalisable</w:t>
      </w:r>
      <w:proofErr w:type="spellEnd"/>
      <w:r w:rsidRPr="00DA2F93">
        <w:rPr>
          <w:color w:val="000000" w:themeColor="text1"/>
        </w:rPr>
        <w:t>.</w:t>
      </w:r>
    </w:p>
    <w:p w14:paraId="32FC8074" w14:textId="77777777" w:rsidR="00D7137F" w:rsidRPr="00DA2F93" w:rsidRDefault="00D7137F" w:rsidP="00D7137F">
      <w:pPr>
        <w:jc w:val="both"/>
        <w:rPr>
          <w:color w:val="000000" w:themeColor="text1"/>
        </w:rPr>
      </w:pPr>
    </w:p>
    <w:p w14:paraId="1BD8BE3B" w14:textId="78F71D6F" w:rsidR="00D7137F" w:rsidRPr="00DA2F93" w:rsidRDefault="00727960" w:rsidP="00D7137F">
      <w:pPr>
        <w:jc w:val="both"/>
        <w:rPr>
          <w:color w:val="000000" w:themeColor="text1"/>
        </w:rPr>
      </w:pPr>
      <w:r w:rsidRPr="00DA2F93">
        <w:rPr>
          <w:color w:val="000000" w:themeColor="text1"/>
        </w:rPr>
        <w:t xml:space="preserve">Si une </w:t>
      </w:r>
      <w:r w:rsidR="00D7137F" w:rsidRPr="00DA2F93">
        <w:rPr>
          <w:color w:val="000000" w:themeColor="text1"/>
        </w:rPr>
        <w:t xml:space="preserve">indisponibilité n’est pas annoncée </w:t>
      </w:r>
      <w:r w:rsidR="00893E7F" w:rsidRPr="00DA2F93">
        <w:rPr>
          <w:color w:val="000000" w:themeColor="text1"/>
        </w:rPr>
        <w:t xml:space="preserve">la veille </w:t>
      </w:r>
      <w:r w:rsidR="00831C27" w:rsidRPr="00DA2F93">
        <w:rPr>
          <w:color w:val="000000" w:themeColor="text1"/>
        </w:rPr>
        <w:t xml:space="preserve">avant </w:t>
      </w:r>
      <w:r w:rsidR="0026320F" w:rsidRPr="00DA2F93">
        <w:rPr>
          <w:color w:val="000000" w:themeColor="text1"/>
        </w:rPr>
        <w:t>16</w:t>
      </w:r>
      <w:r w:rsidR="00680E8E" w:rsidRPr="00DA2F93">
        <w:rPr>
          <w:color w:val="000000" w:themeColor="text1"/>
        </w:rPr>
        <w:t xml:space="preserve"> h</w:t>
      </w:r>
      <w:r w:rsidR="00D7137F" w:rsidRPr="00DA2F93">
        <w:rPr>
          <w:color w:val="000000" w:themeColor="text1"/>
        </w:rPr>
        <w:t xml:space="preserve">, celle-ci est traitée comme une TPS (voir </w:t>
      </w:r>
      <w:r w:rsidR="007421FA" w:rsidRPr="00DA2F93">
        <w:rPr>
          <w:color w:val="000000" w:themeColor="text1"/>
        </w:rPr>
        <w:t xml:space="preserve">§ </w:t>
      </w:r>
      <w:r w:rsidR="00C71C22" w:rsidRPr="00DA2F93">
        <w:fldChar w:fldCharType="begin"/>
      </w:r>
      <w:r w:rsidR="00C71C22" w:rsidRPr="00DA2F93">
        <w:instrText xml:space="preserve"> REF _Ref382300902 \r \h  \* MERGEFORMAT </w:instrText>
      </w:r>
      <w:r w:rsidR="00C71C22" w:rsidRPr="00DA2F93">
        <w:fldChar w:fldCharType="separate"/>
      </w:r>
      <w:r w:rsidR="0042414D" w:rsidRPr="000243CB">
        <w:rPr>
          <w:color w:val="000000" w:themeColor="text1"/>
        </w:rPr>
        <w:t>12.3</w:t>
      </w:r>
      <w:r w:rsidR="00C71C22" w:rsidRPr="00DA2F93">
        <w:fldChar w:fldCharType="end"/>
      </w:r>
      <w:r w:rsidR="00D7137F" w:rsidRPr="00DA2F93">
        <w:rPr>
          <w:color w:val="000000" w:themeColor="text1"/>
        </w:rPr>
        <w:t>).</w:t>
      </w:r>
      <w:r w:rsidR="007F1399" w:rsidRPr="00DA2F93">
        <w:rPr>
          <w:color w:val="000000" w:themeColor="text1"/>
        </w:rPr>
        <w:t xml:space="preserve"> </w:t>
      </w:r>
      <w:r w:rsidR="00317E30" w:rsidRPr="00DA2F93">
        <w:rPr>
          <w:color w:val="000000" w:themeColor="text1"/>
        </w:rPr>
        <w:t>L</w:t>
      </w:r>
      <w:r w:rsidR="007F1399" w:rsidRPr="00DA2F93">
        <w:rPr>
          <w:color w:val="000000" w:themeColor="text1"/>
        </w:rPr>
        <w:t>e stockeur</w:t>
      </w:r>
      <w:r w:rsidR="00F33E34" w:rsidRPr="00DA2F93">
        <w:rPr>
          <w:color w:val="000000" w:themeColor="text1"/>
        </w:rPr>
        <w:t xml:space="preserve"> prévient l</w:t>
      </w:r>
      <w:r w:rsidR="00673CB8" w:rsidRPr="00DA2F93">
        <w:rPr>
          <w:color w:val="000000" w:themeColor="text1"/>
        </w:rPr>
        <w:t xml:space="preserve">e </w:t>
      </w:r>
      <w:r w:rsidR="00B361C0">
        <w:rPr>
          <w:color w:val="000000" w:themeColor="text1"/>
        </w:rPr>
        <w:t>GRT</w:t>
      </w:r>
      <w:r w:rsidR="00F33E34" w:rsidRPr="00DA2F93">
        <w:rPr>
          <w:color w:val="000000" w:themeColor="text1"/>
        </w:rPr>
        <w:t xml:space="preserve"> dans les meilleurs délais possibles, d’une indisponibilité, </w:t>
      </w:r>
      <w:r w:rsidR="00317E30" w:rsidRPr="00DA2F93">
        <w:rPr>
          <w:color w:val="000000" w:themeColor="text1"/>
        </w:rPr>
        <w:t xml:space="preserve">y compris </w:t>
      </w:r>
      <w:r w:rsidR="00F33E34" w:rsidRPr="00DA2F93">
        <w:rPr>
          <w:color w:val="000000" w:themeColor="text1"/>
        </w:rPr>
        <w:t xml:space="preserve">passé </w:t>
      </w:r>
      <w:r w:rsidR="00317E30" w:rsidRPr="00DA2F93">
        <w:rPr>
          <w:color w:val="000000" w:themeColor="text1"/>
        </w:rPr>
        <w:t>la veille avant 16h.</w:t>
      </w:r>
    </w:p>
    <w:p w14:paraId="650699F9" w14:textId="77777777" w:rsidR="00A7616E" w:rsidRPr="00DA2F93" w:rsidRDefault="00A7616E" w:rsidP="00D7137F">
      <w:pPr>
        <w:jc w:val="both"/>
        <w:rPr>
          <w:color w:val="000000" w:themeColor="text1"/>
        </w:rPr>
      </w:pPr>
    </w:p>
    <w:p w14:paraId="494DDCAB" w14:textId="3819F420" w:rsidR="00E528A5" w:rsidRPr="00DA2F93" w:rsidRDefault="00E528A5" w:rsidP="00D7137F">
      <w:pPr>
        <w:jc w:val="both"/>
        <w:rPr>
          <w:color w:val="000000" w:themeColor="text1"/>
        </w:rPr>
      </w:pPr>
      <w:r w:rsidRPr="00DA2F93">
        <w:rPr>
          <w:color w:val="000000" w:themeColor="text1"/>
        </w:rPr>
        <w:t xml:space="preserve">Le </w:t>
      </w:r>
      <w:r w:rsidR="00554628" w:rsidRPr="00DA2F93">
        <w:rPr>
          <w:color w:val="000000" w:themeColor="text1"/>
        </w:rPr>
        <w:t>Stockeur</w:t>
      </w:r>
      <w:r w:rsidRPr="00DA2F93">
        <w:rPr>
          <w:color w:val="000000" w:themeColor="text1"/>
        </w:rPr>
        <w:t xml:space="preserve"> informe l</w:t>
      </w:r>
      <w:r w:rsidR="00673CB8" w:rsidRPr="00DA2F93">
        <w:rPr>
          <w:color w:val="000000" w:themeColor="text1"/>
        </w:rPr>
        <w:t xml:space="preserve">e </w:t>
      </w:r>
      <w:r w:rsidR="00B361C0">
        <w:rPr>
          <w:color w:val="000000" w:themeColor="text1"/>
        </w:rPr>
        <w:t>GRT</w:t>
      </w:r>
      <w:r w:rsidRPr="00DA2F93">
        <w:rPr>
          <w:color w:val="000000" w:themeColor="text1"/>
        </w:rPr>
        <w:t>, dans les meilleurs délais, de la remise en disponibilité de l’Installation.</w:t>
      </w:r>
    </w:p>
    <w:p w14:paraId="4B176596" w14:textId="77777777" w:rsidR="00D7137F" w:rsidRPr="00DA2F93" w:rsidRDefault="00D7137F" w:rsidP="00D7137F">
      <w:pPr>
        <w:jc w:val="both"/>
        <w:rPr>
          <w:szCs w:val="24"/>
        </w:rPr>
      </w:pPr>
    </w:p>
    <w:p w14:paraId="5BA100AF" w14:textId="3B311B6B" w:rsidR="00D7137F" w:rsidRPr="00DA2F93" w:rsidRDefault="00D7137F" w:rsidP="00D7137F">
      <w:pPr>
        <w:pStyle w:val="EDFTitre2"/>
        <w:jc w:val="both"/>
      </w:pPr>
      <w:bookmarkStart w:id="236" w:name="_Ref382300902"/>
      <w:bookmarkStart w:id="237" w:name="_Toc394668256"/>
      <w:bookmarkStart w:id="238" w:name="_Toc110436473"/>
      <w:bookmarkStart w:id="239" w:name="_Toc108113956"/>
      <w:r w:rsidRPr="00DA2F93">
        <w:t>Tenue en puissance spécifiée « TPS »</w:t>
      </w:r>
      <w:bookmarkEnd w:id="236"/>
      <w:bookmarkEnd w:id="237"/>
      <w:bookmarkEnd w:id="238"/>
      <w:r w:rsidR="00A94EF8" w:rsidRPr="00DA2F93">
        <w:t xml:space="preserve"> </w:t>
      </w:r>
      <w:bookmarkEnd w:id="239"/>
    </w:p>
    <w:p w14:paraId="4AA42792" w14:textId="65F5A785" w:rsidR="00D7137F" w:rsidRDefault="00D7137F" w:rsidP="00D7137F">
      <w:pPr>
        <w:jc w:val="both"/>
      </w:pPr>
      <w:r w:rsidRPr="00DA2F93">
        <w:rPr>
          <w:szCs w:val="24"/>
        </w:rPr>
        <w:t xml:space="preserve">En situation de fonctionnement normal, le </w:t>
      </w:r>
      <w:r w:rsidR="00554628" w:rsidRPr="00DA2F93">
        <w:rPr>
          <w:szCs w:val="24"/>
        </w:rPr>
        <w:t>Stockeur</w:t>
      </w:r>
      <w:r w:rsidRPr="00DA2F93">
        <w:rPr>
          <w:szCs w:val="24"/>
        </w:rPr>
        <w:t xml:space="preserve"> doit être en mesure de fournir la puissance spécifiée en temps réel par l</w:t>
      </w:r>
      <w:r w:rsidR="00673CB8" w:rsidRPr="00DA2F93">
        <w:rPr>
          <w:szCs w:val="24"/>
        </w:rPr>
        <w:t xml:space="preserve">e </w:t>
      </w:r>
      <w:r w:rsidR="00B361C0">
        <w:rPr>
          <w:szCs w:val="24"/>
        </w:rPr>
        <w:t>GRT</w:t>
      </w:r>
      <w:r w:rsidRPr="00DA2F93">
        <w:rPr>
          <w:szCs w:val="24"/>
        </w:rPr>
        <w:t xml:space="preserve"> dans le respect </w:t>
      </w:r>
      <w:proofErr w:type="gramStart"/>
      <w:r w:rsidR="00724AF9">
        <w:rPr>
          <w:szCs w:val="24"/>
        </w:rPr>
        <w:t>de la disponibilité horaire</w:t>
      </w:r>
      <w:r w:rsidRPr="00DA2F93">
        <w:rPr>
          <w:szCs w:val="24"/>
        </w:rPr>
        <w:t xml:space="preserve"> spécifiées</w:t>
      </w:r>
      <w:proofErr w:type="gramEnd"/>
      <w:r w:rsidRPr="00DA2F93">
        <w:rPr>
          <w:szCs w:val="24"/>
        </w:rPr>
        <w:t xml:space="preserve"> par le planning hebdomadaire de disponibilité</w:t>
      </w:r>
      <w:r w:rsidR="005D7F54">
        <w:rPr>
          <w:szCs w:val="24"/>
        </w:rPr>
        <w:t xml:space="preserve"> et de l’état de stock de l’Installation</w:t>
      </w:r>
      <w:r w:rsidRPr="00DA2F93">
        <w:rPr>
          <w:szCs w:val="24"/>
        </w:rPr>
        <w:t xml:space="preserve">. En cas de </w:t>
      </w:r>
      <w:r w:rsidR="00E21557" w:rsidRPr="00DA2F93">
        <w:rPr>
          <w:szCs w:val="24"/>
        </w:rPr>
        <w:t>période d’indisponibi</w:t>
      </w:r>
      <w:r w:rsidR="006026F5" w:rsidRPr="00DA2F93">
        <w:rPr>
          <w:szCs w:val="24"/>
        </w:rPr>
        <w:t>lité déclarée la veille après 16</w:t>
      </w:r>
      <w:r w:rsidR="00E21557" w:rsidRPr="00DA2F93">
        <w:rPr>
          <w:szCs w:val="24"/>
        </w:rPr>
        <w:t xml:space="preserve"> h ou en cas de </w:t>
      </w:r>
      <w:r w:rsidRPr="00DA2F93">
        <w:rPr>
          <w:szCs w:val="24"/>
        </w:rPr>
        <w:t xml:space="preserve">défaut en temps réel, </w:t>
      </w:r>
      <w:r w:rsidRPr="00DA2F93">
        <w:t xml:space="preserve">le </w:t>
      </w:r>
      <w:r w:rsidR="00554628" w:rsidRPr="00DA2F93">
        <w:t>Stockeur</w:t>
      </w:r>
      <w:r w:rsidRPr="00DA2F93">
        <w:t xml:space="preserve"> sera redevable d’une pénalité (P</w:t>
      </w:r>
      <w:r w:rsidRPr="00DA2F93">
        <w:rPr>
          <w:vertAlign w:val="subscript"/>
        </w:rPr>
        <w:t>TPS</w:t>
      </w:r>
      <w:r w:rsidRPr="00DA2F93">
        <w:t>) calculée d’après la formule suivante :</w:t>
      </w:r>
    </w:p>
    <w:p w14:paraId="168ED865" w14:textId="07474895" w:rsidR="00D7137F" w:rsidRPr="00DA2F93" w:rsidRDefault="00D7137F" w:rsidP="00D7137F">
      <w:pPr>
        <w:jc w:val="both"/>
        <w:rPr>
          <w:b/>
        </w:rPr>
      </w:pPr>
      <w:r w:rsidRPr="00DA2F93">
        <w:rPr>
          <w:b/>
        </w:rPr>
        <w:t>P</w:t>
      </w:r>
      <w:r w:rsidRPr="00DA2F93">
        <w:rPr>
          <w:rFonts w:ascii="Arial Gras" w:hAnsi="Arial Gras"/>
          <w:b/>
          <w:vertAlign w:val="subscript"/>
        </w:rPr>
        <w:t>TPS</w:t>
      </w:r>
      <w:r w:rsidRPr="00DA2F93">
        <w:rPr>
          <w:b/>
        </w:rPr>
        <w:t xml:space="preserve"> = </w:t>
      </w:r>
      <w:r w:rsidR="005D1487">
        <w:rPr>
          <w:b/>
        </w:rPr>
        <w:t xml:space="preserve">valeur </w:t>
      </w:r>
      <w:proofErr w:type="gramStart"/>
      <w:r w:rsidR="005D1487">
        <w:rPr>
          <w:b/>
        </w:rPr>
        <w:t>absolue(</w:t>
      </w:r>
      <w:proofErr w:type="gramEnd"/>
      <w:r w:rsidRPr="00DA2F93">
        <w:rPr>
          <w:b/>
        </w:rPr>
        <w:t xml:space="preserve">puissance </w:t>
      </w:r>
      <w:r w:rsidR="0026320F" w:rsidRPr="00DA2F93">
        <w:rPr>
          <w:b/>
        </w:rPr>
        <w:t xml:space="preserve">injectée ou soutirée </w:t>
      </w:r>
      <w:r w:rsidRPr="00DA2F93">
        <w:rPr>
          <w:b/>
        </w:rPr>
        <w:t>spécifiée en temps réel - pui</w:t>
      </w:r>
      <w:r w:rsidR="00284BB0" w:rsidRPr="00DA2F93">
        <w:rPr>
          <w:b/>
        </w:rPr>
        <w:t xml:space="preserve">ssance effectivement </w:t>
      </w:r>
      <w:r w:rsidR="0026320F" w:rsidRPr="00DA2F93">
        <w:rPr>
          <w:b/>
        </w:rPr>
        <w:t>injectée ou soutirée</w:t>
      </w:r>
      <w:r w:rsidR="005D1487">
        <w:rPr>
          <w:b/>
        </w:rPr>
        <w:t>)</w:t>
      </w:r>
      <w:r w:rsidR="00284BB0" w:rsidRPr="00DA2F93">
        <w:rPr>
          <w:b/>
        </w:rPr>
        <w:t xml:space="preserve"> *</w:t>
      </w:r>
      <w:r w:rsidRPr="00DA2F93">
        <w:rPr>
          <w:b/>
        </w:rPr>
        <w:t xml:space="preserve"> </w:t>
      </w:r>
      <w:r w:rsidR="00E21557" w:rsidRPr="00DA2F93">
        <w:rPr>
          <w:b/>
        </w:rPr>
        <w:t>durée</w:t>
      </w:r>
      <w:r w:rsidRPr="00DA2F93">
        <w:rPr>
          <w:b/>
        </w:rPr>
        <w:t xml:space="preserve"> d’indisponibilité</w:t>
      </w:r>
      <w:r w:rsidR="005D1487">
        <w:rPr>
          <w:b/>
        </w:rPr>
        <w:t xml:space="preserve"> (en heures)</w:t>
      </w:r>
      <w:r w:rsidRPr="00DA2F93">
        <w:rPr>
          <w:b/>
        </w:rPr>
        <w:t xml:space="preserve"> </w:t>
      </w:r>
      <w:r w:rsidR="008F5599">
        <w:rPr>
          <w:b/>
        </w:rPr>
        <w:t>*</w:t>
      </w:r>
      <w:r w:rsidRPr="00DA2F93">
        <w:rPr>
          <w:b/>
        </w:rPr>
        <w:t xml:space="preserve"> MUP</w:t>
      </w:r>
    </w:p>
    <w:p w14:paraId="1D5A1C80" w14:textId="77777777" w:rsidR="00D7137F" w:rsidRPr="00DA2F93" w:rsidRDefault="00D7137F" w:rsidP="00D7137F">
      <w:pPr>
        <w:jc w:val="both"/>
      </w:pPr>
    </w:p>
    <w:p w14:paraId="25041F70" w14:textId="77777777" w:rsidR="00D7137F" w:rsidRPr="00DA2F93" w:rsidRDefault="00D7137F" w:rsidP="00D7137F">
      <w:pPr>
        <w:jc w:val="both"/>
        <w:rPr>
          <w:color w:val="000000" w:themeColor="text1"/>
        </w:rPr>
      </w:pPr>
      <w:r w:rsidRPr="00DA2F93">
        <w:rPr>
          <w:color w:val="000000" w:themeColor="text1"/>
        </w:rPr>
        <w:t>Le défaut TPS n’est pas décompté en occurrence, ni l’objet d’une pénalité dans les cas suivants :</w:t>
      </w:r>
    </w:p>
    <w:p w14:paraId="2A36C35C" w14:textId="2C37462E" w:rsidR="00D7137F" w:rsidRPr="00DA2F93" w:rsidRDefault="00D7137F" w:rsidP="008544B3">
      <w:pPr>
        <w:pStyle w:val="Paragraphedeliste"/>
        <w:numPr>
          <w:ilvl w:val="0"/>
          <w:numId w:val="6"/>
        </w:numPr>
        <w:tabs>
          <w:tab w:val="left" w:pos="993"/>
        </w:tabs>
        <w:spacing w:before="0" w:after="0"/>
        <w:jc w:val="both"/>
      </w:pPr>
      <w:r w:rsidRPr="00DA2F93">
        <w:t xml:space="preserve">Ecart constaté </w:t>
      </w:r>
      <w:r w:rsidR="008365C4">
        <w:t xml:space="preserve">entre la </w:t>
      </w:r>
      <w:r w:rsidR="008365C4" w:rsidRPr="00FF1DDE">
        <w:t xml:space="preserve">puissance injectée </w:t>
      </w:r>
      <w:r w:rsidR="008365C4" w:rsidRPr="00A775B6">
        <w:t xml:space="preserve">ou </w:t>
      </w:r>
      <w:r w:rsidR="00BD053A" w:rsidRPr="00A775B6">
        <w:t xml:space="preserve">soutirée </w:t>
      </w:r>
      <w:r w:rsidR="008365C4" w:rsidRPr="00A775B6">
        <w:t>spécifiée en temps réel et la puissance effectivement injectée ou soutirée</w:t>
      </w:r>
      <w:r w:rsidR="008365C4" w:rsidRPr="00A775B6" w:rsidDel="008365C4">
        <w:t xml:space="preserve"> </w:t>
      </w:r>
      <w:r w:rsidR="00972DDE" w:rsidRPr="00A775B6">
        <w:t>de moins de 0,5</w:t>
      </w:r>
      <w:r w:rsidR="00415B8F" w:rsidRPr="00A775B6">
        <w:t xml:space="preserve"> MW</w:t>
      </w:r>
      <w:r w:rsidR="008365C4" w:rsidRPr="00A775B6">
        <w:t xml:space="preserve"> en valeur absolue</w:t>
      </w:r>
      <w:r w:rsidR="005D7F54" w:rsidRPr="00A775B6">
        <w:t>. Ce seuil est remplacé par 10% de la puissance contractuelle en injection</w:t>
      </w:r>
      <w:r w:rsidR="005D7F54">
        <w:t xml:space="preserve"> dans le cas d’une Installation de moins de 5 MW</w:t>
      </w:r>
      <w:r w:rsidRPr="00DA2F93">
        <w:t>;</w:t>
      </w:r>
    </w:p>
    <w:p w14:paraId="11F178B1" w14:textId="19317FFF" w:rsidR="00D7137F" w:rsidRPr="00DA2F93" w:rsidRDefault="00D7137F" w:rsidP="008544B3">
      <w:pPr>
        <w:pStyle w:val="Paragraphedeliste"/>
        <w:numPr>
          <w:ilvl w:val="0"/>
          <w:numId w:val="6"/>
        </w:numPr>
        <w:tabs>
          <w:tab w:val="left" w:pos="993"/>
        </w:tabs>
        <w:spacing w:before="0" w:after="0"/>
        <w:jc w:val="both"/>
      </w:pPr>
      <w:r w:rsidRPr="00DA2F93">
        <w:t xml:space="preserve">Ecart constaté </w:t>
      </w:r>
      <w:r w:rsidR="008365C4">
        <w:t xml:space="preserve">entre la </w:t>
      </w:r>
      <w:r w:rsidR="008365C4" w:rsidRPr="006A7F9E">
        <w:t xml:space="preserve">puissance injectée ou soutirée spécifiée en temps réel </w:t>
      </w:r>
      <w:r w:rsidR="008365C4">
        <w:t>et la</w:t>
      </w:r>
      <w:r w:rsidR="008365C4" w:rsidRPr="006A7F9E">
        <w:t xml:space="preserve"> puissance effectivement injectée ou soutirée</w:t>
      </w:r>
      <w:r w:rsidR="008365C4" w:rsidRPr="00DA2F93" w:rsidDel="008365C4">
        <w:t xml:space="preserve"> </w:t>
      </w:r>
      <w:r w:rsidR="00972DDE" w:rsidRPr="00DA2F93">
        <w:t>de</w:t>
      </w:r>
      <w:r w:rsidR="008365C4">
        <w:t xml:space="preserve"> moins</w:t>
      </w:r>
      <w:r w:rsidR="00972DDE" w:rsidRPr="00DA2F93">
        <w:t xml:space="preserve"> </w:t>
      </w:r>
      <w:r w:rsidR="008365C4">
        <w:t xml:space="preserve">de </w:t>
      </w:r>
      <w:r w:rsidR="00972DDE" w:rsidRPr="00DA2F93">
        <w:t>1</w:t>
      </w:r>
      <w:r w:rsidRPr="00DA2F93">
        <w:t xml:space="preserve"> MW </w:t>
      </w:r>
      <w:r w:rsidR="008365C4">
        <w:t xml:space="preserve">en valeur absolue </w:t>
      </w:r>
      <w:r w:rsidRPr="00DA2F93">
        <w:t xml:space="preserve">et </w:t>
      </w:r>
      <w:r w:rsidR="008365C4">
        <w:t xml:space="preserve">écart sur les </w:t>
      </w:r>
      <w:r w:rsidRPr="00DA2F93">
        <w:t>éne</w:t>
      </w:r>
      <w:r w:rsidR="00972DDE" w:rsidRPr="00DA2F93">
        <w:t>rgie</w:t>
      </w:r>
      <w:r w:rsidR="008365C4">
        <w:t>s</w:t>
      </w:r>
      <w:r w:rsidR="00972DDE" w:rsidRPr="00DA2F93">
        <w:t xml:space="preserve"> </w:t>
      </w:r>
      <w:r w:rsidR="008365C4">
        <w:t xml:space="preserve">totales </w:t>
      </w:r>
      <w:r w:rsidR="007B507E" w:rsidRPr="00DA2F93">
        <w:t>injectée</w:t>
      </w:r>
      <w:r w:rsidR="008365C4">
        <w:t>s</w:t>
      </w:r>
      <w:r w:rsidR="007B507E" w:rsidRPr="00DA2F93">
        <w:t xml:space="preserve"> ou soutirée</w:t>
      </w:r>
      <w:r w:rsidR="008365C4">
        <w:t>s</w:t>
      </w:r>
      <w:r w:rsidR="00972DDE" w:rsidRPr="00DA2F93">
        <w:t xml:space="preserve"> inférieure</w:t>
      </w:r>
      <w:r w:rsidR="008365C4">
        <w:t>s</w:t>
      </w:r>
      <w:r w:rsidR="00972DDE" w:rsidRPr="00DA2F93">
        <w:t xml:space="preserve"> à 1</w:t>
      </w:r>
      <w:r w:rsidRPr="00DA2F93">
        <w:t xml:space="preserve"> </w:t>
      </w:r>
      <w:proofErr w:type="spellStart"/>
      <w:r w:rsidRPr="00DA2F93">
        <w:t>MWh</w:t>
      </w:r>
      <w:proofErr w:type="spellEnd"/>
      <w:r w:rsidR="000C2976" w:rsidRPr="00DA2F93">
        <w:t xml:space="preserve"> </w:t>
      </w:r>
      <w:r w:rsidR="008365C4">
        <w:t xml:space="preserve">en valeur absolue </w:t>
      </w:r>
      <w:r w:rsidR="000C2976" w:rsidRPr="00DA2F93">
        <w:t xml:space="preserve">sur </w:t>
      </w:r>
      <w:r w:rsidR="00E21557" w:rsidRPr="00DA2F93">
        <w:t>la durée</w:t>
      </w:r>
      <w:r w:rsidR="000C2976" w:rsidRPr="00DA2F93">
        <w:t xml:space="preserve"> concernée</w:t>
      </w:r>
      <w:r w:rsidRPr="00DA2F93">
        <w:t>.</w:t>
      </w:r>
      <w:r w:rsidR="005D7F54">
        <w:t xml:space="preserve"> Pour les Installations de moins de 5 MW, ce seuil est remplacé par 20% de la puissance contractuelle et l’énergie correspondant à 20% de la puissance contractuelle sur une durée d’une heure.</w:t>
      </w:r>
    </w:p>
    <w:p w14:paraId="0633B486" w14:textId="77777777" w:rsidR="008F5599" w:rsidRDefault="008F5599" w:rsidP="00D7137F">
      <w:pPr>
        <w:jc w:val="both"/>
        <w:rPr>
          <w:szCs w:val="24"/>
        </w:rPr>
      </w:pPr>
    </w:p>
    <w:p w14:paraId="77AFD0B9" w14:textId="1D481680" w:rsidR="00D7137F" w:rsidRPr="00DA2F93" w:rsidRDefault="008F5599" w:rsidP="00D7137F">
      <w:pPr>
        <w:jc w:val="both"/>
        <w:rPr>
          <w:szCs w:val="24"/>
        </w:rPr>
      </w:pPr>
      <w:r w:rsidRPr="008F5599">
        <w:rPr>
          <w:szCs w:val="24"/>
        </w:rPr>
        <w:t xml:space="preserve">La pénalité est due dès la première occurrence de l’événement </w:t>
      </w:r>
      <w:proofErr w:type="spellStart"/>
      <w:r w:rsidRPr="008F5599">
        <w:rPr>
          <w:szCs w:val="24"/>
        </w:rPr>
        <w:t>pénalisable</w:t>
      </w:r>
      <w:proofErr w:type="spellEnd"/>
      <w:r w:rsidRPr="008F5599">
        <w:rPr>
          <w:szCs w:val="24"/>
        </w:rPr>
        <w:t>.</w:t>
      </w:r>
    </w:p>
    <w:p w14:paraId="7B5F62A6" w14:textId="77777777" w:rsidR="00D7137F" w:rsidRPr="00DA2F93" w:rsidRDefault="00D7137F" w:rsidP="000243CB">
      <w:pPr>
        <w:pStyle w:val="corpsdetexte0"/>
      </w:pPr>
    </w:p>
    <w:p w14:paraId="155869A7" w14:textId="01E7B557" w:rsidR="00D7137F" w:rsidRPr="00DA2F93" w:rsidRDefault="00D7137F" w:rsidP="00D7137F">
      <w:pPr>
        <w:jc w:val="both"/>
        <w:rPr>
          <w:szCs w:val="24"/>
        </w:rPr>
      </w:pPr>
      <w:r w:rsidRPr="00DA2F93">
        <w:rPr>
          <w:szCs w:val="24"/>
        </w:rPr>
        <w:t xml:space="preserve">En cas de </w:t>
      </w:r>
      <w:r w:rsidR="006E397D" w:rsidRPr="00DA2F93">
        <w:rPr>
          <w:szCs w:val="24"/>
        </w:rPr>
        <w:t xml:space="preserve">défaut </w:t>
      </w:r>
      <w:r w:rsidRPr="00DA2F93">
        <w:rPr>
          <w:szCs w:val="24"/>
        </w:rPr>
        <w:t>TPS, l</w:t>
      </w:r>
      <w:r w:rsidR="00673CB8" w:rsidRPr="00DA2F93">
        <w:rPr>
          <w:szCs w:val="24"/>
        </w:rPr>
        <w:t xml:space="preserve">e </w:t>
      </w:r>
      <w:r w:rsidR="00B361C0">
        <w:rPr>
          <w:szCs w:val="24"/>
        </w:rPr>
        <w:t>GRT</w:t>
      </w:r>
      <w:r w:rsidRPr="00DA2F93">
        <w:rPr>
          <w:szCs w:val="24"/>
        </w:rPr>
        <w:t xml:space="preserve"> vérifie par tout moyen à sa disposition que le défaut ayant entraîné la baisse de puissance disponible est bien un événement qui n’a pas été délibérément provoqué par le </w:t>
      </w:r>
      <w:r w:rsidR="00554628" w:rsidRPr="00DA2F93">
        <w:rPr>
          <w:szCs w:val="24"/>
        </w:rPr>
        <w:t>Stockeur</w:t>
      </w:r>
      <w:r w:rsidRPr="00DA2F93">
        <w:rPr>
          <w:szCs w:val="24"/>
        </w:rPr>
        <w:t xml:space="preserve"> sans l’accord écrit et notifié </w:t>
      </w:r>
      <w:r w:rsidR="00F465AA">
        <w:rPr>
          <w:szCs w:val="24"/>
        </w:rPr>
        <w:t>du</w:t>
      </w:r>
      <w:r w:rsidR="00673CB8" w:rsidRPr="00DA2F93">
        <w:rPr>
          <w:szCs w:val="24"/>
        </w:rPr>
        <w:t xml:space="preserve"> </w:t>
      </w:r>
      <w:r w:rsidR="00B361C0">
        <w:rPr>
          <w:szCs w:val="24"/>
        </w:rPr>
        <w:t>GRT</w:t>
      </w:r>
      <w:r w:rsidRPr="00DA2F93">
        <w:rPr>
          <w:szCs w:val="24"/>
        </w:rPr>
        <w:t>.</w:t>
      </w:r>
    </w:p>
    <w:p w14:paraId="7BD9DC25" w14:textId="77777777" w:rsidR="00D7137F" w:rsidRPr="00DA2F93" w:rsidRDefault="00D7137F" w:rsidP="00D7137F">
      <w:pPr>
        <w:jc w:val="both"/>
        <w:rPr>
          <w:szCs w:val="24"/>
        </w:rPr>
      </w:pPr>
    </w:p>
    <w:p w14:paraId="6FDF6549" w14:textId="5F704407" w:rsidR="00D7137F" w:rsidRDefault="00D7137F" w:rsidP="00D7137F">
      <w:pPr>
        <w:pStyle w:val="Corpsdetexte"/>
        <w:jc w:val="both"/>
        <w:rPr>
          <w:szCs w:val="24"/>
        </w:rPr>
      </w:pPr>
      <w:r w:rsidRPr="00DA2F93">
        <w:rPr>
          <w:szCs w:val="24"/>
        </w:rPr>
        <w:t xml:space="preserve">Dans le cas où le défaut de TPS est le résultat d’une action délibérément provoquée par le </w:t>
      </w:r>
      <w:r w:rsidR="00554628" w:rsidRPr="00DA2F93">
        <w:rPr>
          <w:szCs w:val="24"/>
        </w:rPr>
        <w:t>Stockeur</w:t>
      </w:r>
      <w:r w:rsidRPr="00DA2F93">
        <w:rPr>
          <w:szCs w:val="24"/>
        </w:rPr>
        <w:t>, en contradiction avec le planning hebdomadaire de disponibilité, la pénalité TPS est multipliée par dix</w:t>
      </w:r>
      <w:r w:rsidR="0017756C" w:rsidRPr="00DA2F93">
        <w:rPr>
          <w:szCs w:val="24"/>
        </w:rPr>
        <w:t>.</w:t>
      </w:r>
    </w:p>
    <w:p w14:paraId="222A5AC3" w14:textId="77777777" w:rsidR="00F51426" w:rsidRPr="00DA2F93" w:rsidRDefault="00F51426" w:rsidP="00D7137F">
      <w:pPr>
        <w:pStyle w:val="Corpsdetexte"/>
        <w:jc w:val="both"/>
        <w:rPr>
          <w:szCs w:val="24"/>
        </w:rPr>
      </w:pPr>
    </w:p>
    <w:p w14:paraId="1B5BB708" w14:textId="77777777" w:rsidR="00D7137F" w:rsidRPr="00DA2F93" w:rsidRDefault="00D7137F" w:rsidP="00D7137F">
      <w:pPr>
        <w:pStyle w:val="EDFTitre2"/>
        <w:jc w:val="both"/>
      </w:pPr>
      <w:bookmarkStart w:id="240" w:name="_Ref382469524"/>
      <w:bookmarkStart w:id="241" w:name="_Toc394668257"/>
      <w:bookmarkStart w:id="242" w:name="_Toc108113957"/>
      <w:bookmarkStart w:id="243" w:name="_Toc110436474"/>
      <w:r w:rsidRPr="00DA2F93">
        <w:t>déclenchement « KQ »</w:t>
      </w:r>
      <w:bookmarkEnd w:id="240"/>
      <w:bookmarkEnd w:id="241"/>
      <w:bookmarkEnd w:id="242"/>
      <w:bookmarkEnd w:id="243"/>
    </w:p>
    <w:p w14:paraId="28896BCC" w14:textId="64D8BD48" w:rsidR="00D7137F" w:rsidRDefault="00D7137F" w:rsidP="00D7137F">
      <w:pPr>
        <w:jc w:val="both"/>
        <w:rPr>
          <w:szCs w:val="24"/>
        </w:rPr>
      </w:pPr>
      <w:r w:rsidRPr="00DA2F93">
        <w:rPr>
          <w:szCs w:val="24"/>
        </w:rPr>
        <w:lastRenderedPageBreak/>
        <w:t xml:space="preserve">En cas </w:t>
      </w:r>
      <w:r w:rsidR="008F5599">
        <w:rPr>
          <w:szCs w:val="24"/>
        </w:rPr>
        <w:t>de déclenchement de</w:t>
      </w:r>
      <w:r w:rsidR="00E528A5" w:rsidRPr="00DA2F93">
        <w:rPr>
          <w:szCs w:val="24"/>
        </w:rPr>
        <w:t xml:space="preserve"> l’Installation </w:t>
      </w:r>
      <w:r w:rsidRPr="00DA2F93">
        <w:rPr>
          <w:szCs w:val="24"/>
        </w:rPr>
        <w:t>sur défaut interne d</w:t>
      </w:r>
      <w:r w:rsidR="00A7616E" w:rsidRPr="00DA2F93">
        <w:rPr>
          <w:szCs w:val="24"/>
        </w:rPr>
        <w:t>e l’Installation d</w:t>
      </w:r>
      <w:r w:rsidRPr="00DA2F93">
        <w:rPr>
          <w:szCs w:val="24"/>
        </w:rPr>
        <w:t xml:space="preserve">u </w:t>
      </w:r>
      <w:r w:rsidR="00554628" w:rsidRPr="00DA2F93">
        <w:rPr>
          <w:szCs w:val="24"/>
        </w:rPr>
        <w:t>Stockeur</w:t>
      </w:r>
      <w:r w:rsidRPr="00DA2F93">
        <w:rPr>
          <w:szCs w:val="24"/>
        </w:rPr>
        <w:t xml:space="preserve"> ou sur non tenue des performances contractuelles en cas de défaut réseau (cf. t</w:t>
      </w:r>
      <w:r w:rsidR="00415B8F" w:rsidRPr="00DA2F93">
        <w:rPr>
          <w:szCs w:val="24"/>
        </w:rPr>
        <w:t xml:space="preserve">ableau des protections dans la </w:t>
      </w:r>
      <w:r w:rsidR="00502B79">
        <w:rPr>
          <w:szCs w:val="24"/>
        </w:rPr>
        <w:t>Convention de Raccordement et d’Exploitation</w:t>
      </w:r>
      <w:r w:rsidR="006E397D" w:rsidRPr="00DA2F93">
        <w:rPr>
          <w:szCs w:val="24"/>
        </w:rPr>
        <w:t>)</w:t>
      </w:r>
      <w:r w:rsidRPr="00DA2F93">
        <w:rPr>
          <w:szCs w:val="24"/>
        </w:rPr>
        <w:t xml:space="preserve">, le </w:t>
      </w:r>
      <w:r w:rsidR="00554628" w:rsidRPr="00DA2F93">
        <w:rPr>
          <w:szCs w:val="24"/>
        </w:rPr>
        <w:t>Stockeur</w:t>
      </w:r>
      <w:r w:rsidRPr="00DA2F93">
        <w:rPr>
          <w:szCs w:val="24"/>
        </w:rPr>
        <w:t xml:space="preserve"> est redevable d’une pénalité (P</w:t>
      </w:r>
      <w:r w:rsidRPr="00DA2F93">
        <w:rPr>
          <w:szCs w:val="24"/>
          <w:vertAlign w:val="subscript"/>
        </w:rPr>
        <w:t>KQ</w:t>
      </w:r>
      <w:r w:rsidRPr="00DA2F93">
        <w:rPr>
          <w:szCs w:val="24"/>
        </w:rPr>
        <w:t xml:space="preserve">) calculée d’après la formule suivante : </w:t>
      </w:r>
    </w:p>
    <w:p w14:paraId="0E9B676F" w14:textId="1881D006" w:rsidR="00314033" w:rsidRPr="00DA2F93" w:rsidRDefault="00A775B6" w:rsidP="00D7137F">
      <w:pPr>
        <w:jc w:val="both"/>
        <w:rPr>
          <w:szCs w:val="24"/>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KQ</m:t>
              </m:r>
            </m:sub>
          </m:sSub>
          <m:r>
            <m:rPr>
              <m:sty m:val="bi"/>
            </m:rPr>
            <w:rPr>
              <w:rFonts w:ascii="Cambria Math" w:hAnsi="Cambria Math"/>
            </w:rPr>
            <m:t>=</m:t>
          </m:r>
          <m:r>
            <m:rPr>
              <m:sty m:val="b"/>
            </m:rPr>
            <w:rPr>
              <w:rFonts w:ascii="Cambria Math" w:hAnsi="Cambria Math"/>
            </w:rPr>
            <m:t xml:space="preserve">puissance active </m:t>
          </m:r>
          <m:sSup>
            <m:sSupPr>
              <m:ctrlPr>
                <w:rPr>
                  <w:rFonts w:ascii="Cambria Math" w:hAnsi="Cambria Math"/>
                  <w:b/>
                  <w:bCs/>
                  <w:iCs/>
                </w:rPr>
              </m:ctrlPr>
            </m:sSupPr>
            <m:e>
              <m:r>
                <m:rPr>
                  <m:sty m:val="b"/>
                </m:rPr>
                <w:rPr>
                  <w:rFonts w:ascii="Cambria Math" w:hAnsi="Cambria Math"/>
                </w:rPr>
                <m:t>d</m:t>
              </m:r>
            </m:e>
            <m:sup>
              <m:r>
                <m:rPr>
                  <m:sty m:val="b"/>
                </m:rPr>
                <w:rPr>
                  <w:rFonts w:ascii="Cambria Math" w:hAnsi="Cambria Math"/>
                </w:rPr>
                <m:t>'</m:t>
              </m:r>
            </m:sup>
          </m:sSup>
          <m:r>
            <m:rPr>
              <m:sty m:val="b"/>
            </m:rPr>
            <w:rPr>
              <w:rFonts w:ascii="Cambria Math" w:hAnsi="Cambria Math"/>
            </w:rPr>
            <m:t>injection contractuelle×1 heure</m:t>
          </m:r>
          <m:r>
            <m:rPr>
              <m:sty m:val="bi"/>
            </m:rPr>
            <w:rPr>
              <w:rFonts w:ascii="Cambria Math" w:hAnsi="Cambria Math" w:hint="eastAsia"/>
            </w:rPr>
            <m:t>×</m:t>
          </m:r>
          <m:r>
            <m:rPr>
              <m:sty m:val="bi"/>
            </m:rPr>
            <w:rPr>
              <w:rFonts w:ascii="Cambria Math" w:hAnsi="Cambria Math"/>
            </w:rPr>
            <m:t>5 MUP</m:t>
          </m:r>
        </m:oMath>
      </m:oMathPara>
    </w:p>
    <w:p w14:paraId="5917BA38" w14:textId="03C20947" w:rsidR="00DE770E" w:rsidRDefault="00D7137F" w:rsidP="00D7137F">
      <w:pPr>
        <w:jc w:val="both"/>
        <w:rPr>
          <w:szCs w:val="24"/>
        </w:rPr>
      </w:pPr>
      <w:r w:rsidRPr="00DA2F93">
        <w:rPr>
          <w:szCs w:val="24"/>
        </w:rPr>
        <w:t xml:space="preserve">La pénalité est calculée forfaitairement à </w:t>
      </w:r>
      <w:r w:rsidR="00DE770E">
        <w:rPr>
          <w:szCs w:val="24"/>
        </w:rPr>
        <w:t>1</w:t>
      </w:r>
      <w:r w:rsidR="00DE770E" w:rsidRPr="00DA2F93">
        <w:rPr>
          <w:szCs w:val="24"/>
        </w:rPr>
        <w:t xml:space="preserve"> </w:t>
      </w:r>
      <w:r w:rsidRPr="00DA2F93">
        <w:rPr>
          <w:szCs w:val="24"/>
        </w:rPr>
        <w:t>heure</w:t>
      </w:r>
      <w:r w:rsidR="00DE770E">
        <w:rPr>
          <w:szCs w:val="24"/>
        </w:rPr>
        <w:t>. Dans le cas où l’installation ne redevient pas disponible à l’issue de cette heure,</w:t>
      </w:r>
      <w:r w:rsidR="00DE770E" w:rsidRPr="00DE770E">
        <w:t xml:space="preserve"> </w:t>
      </w:r>
      <w:r w:rsidR="00DE770E" w:rsidRPr="00DA2F93">
        <w:t>le Stockeur sera redevable d’une pénalité (P</w:t>
      </w:r>
      <w:r w:rsidR="00DE770E" w:rsidRPr="00DA2F93">
        <w:rPr>
          <w:vertAlign w:val="subscript"/>
        </w:rPr>
        <w:t>TPS</w:t>
      </w:r>
      <w:r w:rsidR="00DE770E" w:rsidRPr="00DA2F93">
        <w:t>)</w:t>
      </w:r>
    </w:p>
    <w:p w14:paraId="2A3168BA" w14:textId="77777777" w:rsidR="003E765D" w:rsidRPr="00DA2F93" w:rsidRDefault="003E765D" w:rsidP="00D7137F">
      <w:pPr>
        <w:jc w:val="both"/>
        <w:rPr>
          <w:szCs w:val="24"/>
        </w:rPr>
      </w:pPr>
    </w:p>
    <w:p w14:paraId="448B8049" w14:textId="72294A5C" w:rsidR="00D7137F" w:rsidRPr="00DA2F93" w:rsidRDefault="00D7137F" w:rsidP="00D7137F">
      <w:pPr>
        <w:jc w:val="both"/>
        <w:rPr>
          <w:szCs w:val="24"/>
        </w:rPr>
      </w:pPr>
      <w:r w:rsidRPr="00DA2F93">
        <w:rPr>
          <w:szCs w:val="24"/>
        </w:rPr>
        <w:t>La pénalité</w:t>
      </w:r>
      <w:r w:rsidR="004510A6" w:rsidRPr="00DA2F93">
        <w:rPr>
          <w:szCs w:val="24"/>
        </w:rPr>
        <w:t xml:space="preserve"> </w:t>
      </w:r>
      <w:r w:rsidRPr="00DA2F93">
        <w:rPr>
          <w:szCs w:val="24"/>
        </w:rPr>
        <w:t xml:space="preserve">est due </w:t>
      </w:r>
      <w:r w:rsidR="004510A6" w:rsidRPr="00DA2F93">
        <w:rPr>
          <w:szCs w:val="24"/>
        </w:rPr>
        <w:t>dès la première</w:t>
      </w:r>
      <w:r w:rsidRPr="00DA2F93">
        <w:rPr>
          <w:b/>
          <w:szCs w:val="24"/>
        </w:rPr>
        <w:t xml:space="preserve"> </w:t>
      </w:r>
      <w:r w:rsidR="00F40AA8" w:rsidRPr="00DA2F93">
        <w:rPr>
          <w:szCs w:val="24"/>
        </w:rPr>
        <w:t>occurrence</w:t>
      </w:r>
      <w:r w:rsidRPr="00DA2F93">
        <w:rPr>
          <w:szCs w:val="24"/>
        </w:rPr>
        <w:t xml:space="preserve"> de l’événement </w:t>
      </w:r>
      <w:proofErr w:type="spellStart"/>
      <w:r w:rsidRPr="00DA2F93">
        <w:rPr>
          <w:szCs w:val="24"/>
        </w:rPr>
        <w:t>pénalisable</w:t>
      </w:r>
      <w:proofErr w:type="spellEnd"/>
      <w:r w:rsidRPr="00DA2F93">
        <w:rPr>
          <w:szCs w:val="24"/>
        </w:rPr>
        <w:t>.</w:t>
      </w:r>
    </w:p>
    <w:p w14:paraId="36C54CC2" w14:textId="3516AC13" w:rsidR="00D7137F" w:rsidRDefault="00E10981" w:rsidP="00D7137F">
      <w:pPr>
        <w:pStyle w:val="En-tte"/>
        <w:tabs>
          <w:tab w:val="clear" w:pos="4536"/>
          <w:tab w:val="clear" w:pos="9072"/>
        </w:tabs>
        <w:jc w:val="both"/>
        <w:rPr>
          <w:szCs w:val="24"/>
        </w:rPr>
      </w:pPr>
      <w:r>
        <w:rPr>
          <w:szCs w:val="24"/>
        </w:rPr>
        <w:t>La pénalité est réduite de moitié si le déclenchement a lieu en phase de soutirage.</w:t>
      </w:r>
    </w:p>
    <w:p w14:paraId="1F0320EA" w14:textId="606EDB9A" w:rsidR="00537B8E" w:rsidRPr="00DA2F93" w:rsidRDefault="00537B8E" w:rsidP="000548E3">
      <w:pPr>
        <w:widowControl w:val="0"/>
        <w:autoSpaceDE w:val="0"/>
        <w:autoSpaceDN w:val="0"/>
        <w:adjustRightInd w:val="0"/>
        <w:ind w:right="3495"/>
        <w:jc w:val="both"/>
      </w:pPr>
    </w:p>
    <w:p w14:paraId="2B83A245" w14:textId="76C28098" w:rsidR="00AE56BE" w:rsidRPr="002E7B5A" w:rsidRDefault="008D36C8" w:rsidP="005E0625">
      <w:pPr>
        <w:pStyle w:val="EDFTitre2"/>
      </w:pPr>
      <w:bookmarkStart w:id="244" w:name="_Ref108184091"/>
      <w:bookmarkStart w:id="245" w:name="_Toc110436475"/>
      <w:r>
        <w:t>Perte d’énergie excessive</w:t>
      </w:r>
      <w:r w:rsidR="003D75CF">
        <w:t xml:space="preserve"> (« </w:t>
      </w:r>
      <w:r>
        <w:t>PEE</w:t>
      </w:r>
      <w:r w:rsidR="003D75CF">
        <w:t> »)</w:t>
      </w:r>
      <w:bookmarkEnd w:id="244"/>
      <w:bookmarkEnd w:id="245"/>
    </w:p>
    <w:p w14:paraId="66551544" w14:textId="4314DA19" w:rsidR="004C4AB7" w:rsidRDefault="00AE56BE" w:rsidP="005E0625">
      <w:pPr>
        <w:jc w:val="both"/>
        <w:rPr>
          <w:szCs w:val="24"/>
        </w:rPr>
      </w:pPr>
      <w:r w:rsidRPr="004C4AB7">
        <w:rPr>
          <w:szCs w:val="24"/>
        </w:rPr>
        <w:t xml:space="preserve">Le stockeur s’engage sur un rendement de son Installation </w:t>
      </w:r>
      <w:r w:rsidR="004C4AB7" w:rsidRPr="000243CB">
        <w:rPr>
          <w:szCs w:val="24"/>
        </w:rPr>
        <w:t>à son point de livraison</w:t>
      </w:r>
      <w:r w:rsidR="004C4AB7">
        <w:rPr>
          <w:szCs w:val="24"/>
        </w:rPr>
        <w:t xml:space="preserve"> dans la Fiche de Recueil des Performances</w:t>
      </w:r>
      <w:r w:rsidR="004C4AB7" w:rsidRPr="000243CB">
        <w:rPr>
          <w:szCs w:val="24"/>
        </w:rPr>
        <w:t>, fonction de la puissance injectée ou soutirée ainsi que de l’année contractuelle.</w:t>
      </w:r>
      <w:r w:rsidR="004C4AB7">
        <w:rPr>
          <w:szCs w:val="24"/>
        </w:rPr>
        <w:t xml:space="preserve"> </w:t>
      </w:r>
    </w:p>
    <w:p w14:paraId="7FF669DB" w14:textId="6092C9F6" w:rsidR="004C4AB7" w:rsidRDefault="00F9040A" w:rsidP="005E0625">
      <w:pPr>
        <w:jc w:val="both"/>
        <w:rPr>
          <w:szCs w:val="24"/>
        </w:rPr>
      </w:pPr>
      <w:r>
        <w:rPr>
          <w:szCs w:val="24"/>
        </w:rPr>
        <w:t>La</w:t>
      </w:r>
      <w:r w:rsidR="00243615">
        <w:rPr>
          <w:szCs w:val="24"/>
        </w:rPr>
        <w:t xml:space="preserve"> perte d’énergie effective</w:t>
      </w:r>
      <w:r w:rsidR="004C4AB7">
        <w:rPr>
          <w:szCs w:val="24"/>
        </w:rPr>
        <w:t xml:space="preserve"> </w:t>
      </w:r>
      <w:r>
        <w:rPr>
          <w:szCs w:val="24"/>
        </w:rPr>
        <w:t>est</w:t>
      </w:r>
      <w:r w:rsidR="004C4AB7">
        <w:rPr>
          <w:szCs w:val="24"/>
        </w:rPr>
        <w:t xml:space="preserve"> calculé</w:t>
      </w:r>
      <w:r w:rsidR="00243615">
        <w:rPr>
          <w:szCs w:val="24"/>
        </w:rPr>
        <w:t>e</w:t>
      </w:r>
      <w:r w:rsidR="004C4AB7">
        <w:rPr>
          <w:szCs w:val="24"/>
        </w:rPr>
        <w:t xml:space="preserve"> chaque mois calendaire</w:t>
      </w:r>
      <w:r w:rsidR="00243615">
        <w:rPr>
          <w:szCs w:val="24"/>
        </w:rPr>
        <w:t xml:space="preserve"> par le Stockeur avec la formule suivante </w:t>
      </w:r>
      <w:r w:rsidR="004C4AB7">
        <w:rPr>
          <w:szCs w:val="24"/>
        </w:rPr>
        <w:t>:</w:t>
      </w:r>
    </w:p>
    <w:p w14:paraId="0A6A308B" w14:textId="3506D0F5" w:rsidR="003D75CF" w:rsidRDefault="003D75CF" w:rsidP="000243CB">
      <w:pPr>
        <w:jc w:val="center"/>
        <w:rPr>
          <w:szCs w:val="24"/>
        </w:rPr>
      </w:pPr>
      <w:r w:rsidRPr="00495BBE">
        <w:rPr>
          <w:b/>
          <w:bCs/>
        </w:rPr>
        <w:t>Perte d’énergie effective</w:t>
      </w:r>
      <w:r>
        <w:rPr>
          <w:b/>
          <w:bCs/>
        </w:rPr>
        <w:t xml:space="preserve"> = Energie chargée – Energie déchargée</w:t>
      </w:r>
    </w:p>
    <w:p w14:paraId="508B1367" w14:textId="77777777" w:rsidR="00065772" w:rsidRDefault="00065772" w:rsidP="005E0625">
      <w:pPr>
        <w:jc w:val="both"/>
        <w:rPr>
          <w:iCs/>
          <w:szCs w:val="24"/>
        </w:rPr>
      </w:pPr>
    </w:p>
    <w:p w14:paraId="6F48A01B" w14:textId="02742911" w:rsidR="009A3E00" w:rsidRDefault="00065772" w:rsidP="005E0625">
      <w:pPr>
        <w:jc w:val="both"/>
      </w:pPr>
      <w:r>
        <w:rPr>
          <w:iCs/>
          <w:szCs w:val="24"/>
        </w:rPr>
        <w:t xml:space="preserve">Dans laquelle </w:t>
      </w:r>
      <w:r>
        <w:rPr>
          <w:b/>
          <w:bCs/>
        </w:rPr>
        <w:t>Energie chargée</w:t>
      </w:r>
      <w:r>
        <w:t xml:space="preserve"> et </w:t>
      </w:r>
      <w:r>
        <w:rPr>
          <w:b/>
          <w:bCs/>
        </w:rPr>
        <w:t>Energie déchargée</w:t>
      </w:r>
      <w:r>
        <w:t xml:space="preserve"> sont respectivement l’énergie chargée et l’énergie déchargée cumulées sur le mois calendaire. </w:t>
      </w:r>
    </w:p>
    <w:p w14:paraId="3D583210" w14:textId="77777777" w:rsidR="00065772" w:rsidRPr="00065772" w:rsidRDefault="00065772" w:rsidP="005E0625">
      <w:pPr>
        <w:jc w:val="both"/>
        <w:rPr>
          <w:iCs/>
          <w:szCs w:val="24"/>
        </w:rPr>
      </w:pPr>
    </w:p>
    <w:p w14:paraId="3A56E033" w14:textId="00C15B88" w:rsidR="00243615" w:rsidRDefault="00F9040A" w:rsidP="005E0625">
      <w:pPr>
        <w:jc w:val="both"/>
        <w:rPr>
          <w:iCs/>
          <w:szCs w:val="24"/>
        </w:rPr>
      </w:pPr>
      <w:r>
        <w:rPr>
          <w:iCs/>
          <w:szCs w:val="24"/>
        </w:rPr>
        <w:t>La</w:t>
      </w:r>
      <w:r w:rsidR="00243615">
        <w:rPr>
          <w:iCs/>
          <w:szCs w:val="24"/>
        </w:rPr>
        <w:t xml:space="preserve"> perte d’énergie </w:t>
      </w:r>
      <w:r w:rsidR="007E505C">
        <w:rPr>
          <w:iCs/>
          <w:szCs w:val="24"/>
        </w:rPr>
        <w:t xml:space="preserve">maximale </w:t>
      </w:r>
      <w:r w:rsidR="00243615">
        <w:rPr>
          <w:iCs/>
          <w:szCs w:val="24"/>
        </w:rPr>
        <w:t xml:space="preserve">contractuelle </w:t>
      </w:r>
      <w:r>
        <w:rPr>
          <w:iCs/>
          <w:szCs w:val="24"/>
        </w:rPr>
        <w:t>est</w:t>
      </w:r>
      <w:r w:rsidR="00243615">
        <w:rPr>
          <w:iCs/>
          <w:szCs w:val="24"/>
        </w:rPr>
        <w:t xml:space="preserve"> calculée chaque mois par le Stockeur avec la formule suivante :</w:t>
      </w:r>
    </w:p>
    <w:p w14:paraId="0AFB02EE" w14:textId="3A236442" w:rsidR="007E505C" w:rsidRDefault="007E505C" w:rsidP="007E505C">
      <w:pPr>
        <w:jc w:val="center"/>
        <w:rPr>
          <w:szCs w:val="24"/>
        </w:rPr>
      </w:pPr>
      <w:r w:rsidRPr="00495BBE">
        <w:rPr>
          <w:b/>
          <w:bCs/>
        </w:rPr>
        <w:t xml:space="preserve">Perte d’énergie </w:t>
      </w:r>
      <w:r>
        <w:rPr>
          <w:b/>
          <w:bCs/>
        </w:rPr>
        <w:t xml:space="preserve">maximale contractuelle = </w:t>
      </w:r>
      <w:proofErr w:type="gramStart"/>
      <w:r w:rsidR="00065772">
        <w:rPr>
          <w:b/>
          <w:bCs/>
        </w:rPr>
        <w:t>somme(</w:t>
      </w:r>
      <w:proofErr w:type="gramEnd"/>
      <w:r w:rsidR="00065772">
        <w:rPr>
          <w:b/>
          <w:bCs/>
        </w:rPr>
        <w:t>Perte d’énergie contractuelle(P) * 10mn/60mn))</w:t>
      </w:r>
    </w:p>
    <w:p w14:paraId="49EDC06D" w14:textId="77777777" w:rsidR="00065772" w:rsidRDefault="00065772" w:rsidP="005E0625">
      <w:pPr>
        <w:jc w:val="both"/>
        <w:rPr>
          <w:iCs/>
          <w:szCs w:val="24"/>
        </w:rPr>
      </w:pPr>
    </w:p>
    <w:p w14:paraId="7200E61D" w14:textId="06CC2120" w:rsidR="007E505C" w:rsidRPr="00065772" w:rsidRDefault="00065772" w:rsidP="005E0625">
      <w:pPr>
        <w:jc w:val="both"/>
        <w:rPr>
          <w:iCs/>
          <w:szCs w:val="24"/>
        </w:rPr>
      </w:pPr>
      <w:r>
        <w:rPr>
          <w:iCs/>
          <w:szCs w:val="24"/>
        </w:rPr>
        <w:t xml:space="preserve">Dans laquelle </w:t>
      </w:r>
      <w:r w:rsidRPr="000243CB">
        <w:rPr>
          <w:b/>
          <w:bCs/>
          <w:iCs/>
          <w:szCs w:val="24"/>
        </w:rPr>
        <w:t>P</w:t>
      </w:r>
      <w:r>
        <w:rPr>
          <w:iCs/>
          <w:szCs w:val="24"/>
        </w:rPr>
        <w:t xml:space="preserve"> est la puissance active de l’Installation moyennée par période successives de 10 minutes et </w:t>
      </w:r>
      <w:r w:rsidR="00F9040A">
        <w:rPr>
          <w:iCs/>
          <w:szCs w:val="24"/>
        </w:rPr>
        <w:t>la</w:t>
      </w:r>
      <w:r>
        <w:rPr>
          <w:iCs/>
          <w:szCs w:val="24"/>
        </w:rPr>
        <w:t xml:space="preserve"> </w:t>
      </w:r>
      <w:r>
        <w:rPr>
          <w:b/>
          <w:bCs/>
        </w:rPr>
        <w:t>Perte d’énergie contractuelle</w:t>
      </w:r>
      <w:r>
        <w:t xml:space="preserve"> </w:t>
      </w:r>
      <w:r w:rsidR="00F9040A">
        <w:t>la</w:t>
      </w:r>
      <w:r>
        <w:t xml:space="preserve"> perte</w:t>
      </w:r>
      <w:r w:rsidR="00F9040A">
        <w:t xml:space="preserve"> d’énergie</w:t>
      </w:r>
      <w:r>
        <w:t xml:space="preserve"> liée au rendement</w:t>
      </w:r>
      <w:r w:rsidR="008D36C8">
        <w:t xml:space="preserve">, fonction de P, </w:t>
      </w:r>
      <w:r w:rsidR="00F9040A">
        <w:t>à laquelle</w:t>
      </w:r>
      <w:r w:rsidR="008D36C8">
        <w:t xml:space="preserve"> s’est engagé le Stockeur dans la Fiche de Recueil des Performances.</w:t>
      </w:r>
      <w:r>
        <w:t xml:space="preserve"> </w:t>
      </w:r>
    </w:p>
    <w:p w14:paraId="3F92C2E7" w14:textId="7C4BDB6D" w:rsidR="003D75CF" w:rsidRDefault="003D75CF" w:rsidP="005E0625">
      <w:pPr>
        <w:jc w:val="both"/>
        <w:rPr>
          <w:szCs w:val="24"/>
        </w:rPr>
      </w:pPr>
    </w:p>
    <w:p w14:paraId="052DD7B1" w14:textId="1D514905" w:rsidR="003D75CF" w:rsidRPr="000243CB" w:rsidRDefault="003D75CF" w:rsidP="005E0625">
      <w:pPr>
        <w:jc w:val="both"/>
        <w:rPr>
          <w:highlight w:val="yellow"/>
        </w:rPr>
      </w:pPr>
      <w:r>
        <w:rPr>
          <w:szCs w:val="24"/>
        </w:rPr>
        <w:t xml:space="preserve">Si </w:t>
      </w:r>
      <w:r w:rsidR="00F9040A">
        <w:rPr>
          <w:szCs w:val="24"/>
        </w:rPr>
        <w:t>la</w:t>
      </w:r>
      <w:r w:rsidR="008D36C8">
        <w:rPr>
          <w:szCs w:val="24"/>
        </w:rPr>
        <w:t xml:space="preserve"> perte d’énergie effective </w:t>
      </w:r>
      <w:r w:rsidR="00F9040A">
        <w:rPr>
          <w:szCs w:val="24"/>
        </w:rPr>
        <w:t>est</w:t>
      </w:r>
      <w:r w:rsidR="008D36C8">
        <w:rPr>
          <w:szCs w:val="24"/>
        </w:rPr>
        <w:t xml:space="preserve"> supérieure </w:t>
      </w:r>
      <w:r w:rsidR="00F9040A">
        <w:rPr>
          <w:szCs w:val="24"/>
        </w:rPr>
        <w:t>à la</w:t>
      </w:r>
      <w:r w:rsidR="008D36C8">
        <w:rPr>
          <w:szCs w:val="24"/>
        </w:rPr>
        <w:t xml:space="preserve"> perte d’énergie maximale contractuelle,</w:t>
      </w:r>
      <w:r>
        <w:rPr>
          <w:szCs w:val="24"/>
        </w:rPr>
        <w:t xml:space="preserve"> le Stockeur est redevable d’une pénalité </w:t>
      </w:r>
      <w:r w:rsidRPr="00DA2F93">
        <w:t>(</w:t>
      </w:r>
      <w:r w:rsidR="00EE2448" w:rsidRPr="000243CB">
        <w:rPr>
          <w:highlight w:val="yellow"/>
        </w:rPr>
        <w:t>P</w:t>
      </w:r>
      <w:r w:rsidR="00EE2448">
        <w:rPr>
          <w:highlight w:val="yellow"/>
          <w:vertAlign w:val="subscript"/>
        </w:rPr>
        <w:t>EE</w:t>
      </w:r>
      <w:r w:rsidRPr="000243CB">
        <w:rPr>
          <w:highlight w:val="yellow"/>
        </w:rPr>
        <w:t>) calculée d’après la formule suivante :</w:t>
      </w:r>
    </w:p>
    <w:p w14:paraId="7596CA4F" w14:textId="43652628" w:rsidR="003D75CF" w:rsidRDefault="003D75CF" w:rsidP="003D75CF">
      <w:pPr>
        <w:jc w:val="center"/>
        <w:rPr>
          <w:b/>
          <w:bCs/>
        </w:rPr>
      </w:pPr>
      <w:r w:rsidRPr="000243CB">
        <w:rPr>
          <w:b/>
          <w:bCs/>
          <w:highlight w:val="yellow"/>
        </w:rPr>
        <w:t>P</w:t>
      </w:r>
      <w:r w:rsidR="008D36C8" w:rsidRPr="000243CB">
        <w:rPr>
          <w:b/>
          <w:bCs/>
          <w:highlight w:val="yellow"/>
          <w:vertAlign w:val="subscript"/>
        </w:rPr>
        <w:t>EE</w:t>
      </w:r>
      <w:r w:rsidRPr="000243CB">
        <w:rPr>
          <w:b/>
          <w:bCs/>
          <w:highlight w:val="yellow"/>
          <w:vertAlign w:val="subscript"/>
        </w:rPr>
        <w:t xml:space="preserve"> </w:t>
      </w:r>
      <w:r w:rsidRPr="000243CB">
        <w:rPr>
          <w:b/>
          <w:bCs/>
          <w:highlight w:val="yellow"/>
        </w:rPr>
        <w:t xml:space="preserve">= (Perte d’énergie effective – Perte d’énergie </w:t>
      </w:r>
      <w:r w:rsidR="00F9040A" w:rsidRPr="000243CB">
        <w:rPr>
          <w:b/>
          <w:bCs/>
          <w:highlight w:val="yellow"/>
        </w:rPr>
        <w:t xml:space="preserve">maximale </w:t>
      </w:r>
      <w:r w:rsidRPr="000243CB">
        <w:rPr>
          <w:b/>
          <w:bCs/>
          <w:highlight w:val="yellow"/>
        </w:rPr>
        <w:t>contractuelle) * MUP</w:t>
      </w:r>
    </w:p>
    <w:p w14:paraId="0858BEC7" w14:textId="77777777" w:rsidR="00F14CC7" w:rsidRDefault="00F14CC7" w:rsidP="00F14CC7">
      <w:pPr>
        <w:jc w:val="both"/>
        <w:rPr>
          <w:szCs w:val="24"/>
        </w:rPr>
      </w:pPr>
    </w:p>
    <w:p w14:paraId="1A759EBB" w14:textId="03DB1F9F" w:rsidR="00F14CC7" w:rsidRDefault="00F14CC7" w:rsidP="000243CB">
      <w:pPr>
        <w:jc w:val="both"/>
        <w:rPr>
          <w:b/>
          <w:bCs/>
        </w:rPr>
      </w:pPr>
      <w:r w:rsidRPr="00DA2F93">
        <w:rPr>
          <w:szCs w:val="24"/>
        </w:rPr>
        <w:t xml:space="preserve">La pénalité est due dès la première occurrence de l’événement </w:t>
      </w:r>
      <w:proofErr w:type="spellStart"/>
      <w:r w:rsidRPr="00DA2F93">
        <w:rPr>
          <w:szCs w:val="24"/>
        </w:rPr>
        <w:t>pénalisable</w:t>
      </w:r>
      <w:proofErr w:type="spellEnd"/>
    </w:p>
    <w:p w14:paraId="170EC454" w14:textId="2C8E8B55" w:rsidR="00F9040A" w:rsidRDefault="00F9040A" w:rsidP="00F9040A">
      <w:pPr>
        <w:jc w:val="both"/>
        <w:rPr>
          <w:b/>
          <w:bCs/>
        </w:rPr>
      </w:pPr>
    </w:p>
    <w:p w14:paraId="28319FD8" w14:textId="77777777" w:rsidR="00F9040A" w:rsidRPr="00DA2F93" w:rsidRDefault="00F9040A" w:rsidP="000243CB">
      <w:pPr>
        <w:pStyle w:val="EDFTitre2"/>
      </w:pPr>
      <w:bookmarkStart w:id="246" w:name="_Ref108184108"/>
      <w:bookmarkStart w:id="247" w:name="_Toc110436476"/>
      <w:r w:rsidRPr="00DA2F93">
        <w:t>Temps de Réponse excédant le Plafond contractuel « TRP »</w:t>
      </w:r>
      <w:bookmarkEnd w:id="246"/>
      <w:bookmarkEnd w:id="247"/>
    </w:p>
    <w:p w14:paraId="7D85DB88" w14:textId="19657CBE" w:rsidR="00632CF4" w:rsidRDefault="00632CF4" w:rsidP="00F9040A">
      <w:pPr>
        <w:jc w:val="both"/>
        <w:rPr>
          <w:szCs w:val="24"/>
        </w:rPr>
      </w:pPr>
      <w:r>
        <w:rPr>
          <w:szCs w:val="24"/>
        </w:rPr>
        <w:t xml:space="preserve">Le Stockeur s’engage à un temps de réponse à 5% maximal contractuel </w:t>
      </w:r>
      <w:r w:rsidR="00136AC8">
        <w:rPr>
          <w:szCs w:val="24"/>
        </w:rPr>
        <w:t xml:space="preserve">pour sa régulation de puissance active </w:t>
      </w:r>
      <w:r>
        <w:rPr>
          <w:szCs w:val="24"/>
        </w:rPr>
        <w:t>dans la fiche de Recueil des Performances.</w:t>
      </w:r>
    </w:p>
    <w:p w14:paraId="2B169423" w14:textId="77777777" w:rsidR="00F51426" w:rsidRDefault="00F51426" w:rsidP="00F9040A">
      <w:pPr>
        <w:jc w:val="both"/>
        <w:rPr>
          <w:szCs w:val="24"/>
        </w:rPr>
      </w:pPr>
    </w:p>
    <w:p w14:paraId="284C4BA0" w14:textId="1AD7D299" w:rsidR="00136AC8" w:rsidRDefault="00136AC8" w:rsidP="00F9040A">
      <w:pPr>
        <w:jc w:val="both"/>
        <w:rPr>
          <w:szCs w:val="24"/>
        </w:rPr>
      </w:pPr>
      <w:r>
        <w:rPr>
          <w:szCs w:val="24"/>
        </w:rPr>
        <w:t xml:space="preserve">Si la puissance active de l’installation, mesurée par le </w:t>
      </w:r>
      <w:proofErr w:type="spellStart"/>
      <w:r>
        <w:rPr>
          <w:szCs w:val="24"/>
        </w:rPr>
        <w:t>perturbographe</w:t>
      </w:r>
      <w:proofErr w:type="spellEnd"/>
      <w:r>
        <w:rPr>
          <w:szCs w:val="24"/>
        </w:rPr>
        <w:t xml:space="preserve"> spécifiée dans la Convention de Raccordement et d’Exploitation, </w:t>
      </w:r>
      <w:r w:rsidR="00030C4B">
        <w:rPr>
          <w:szCs w:val="24"/>
        </w:rPr>
        <w:t xml:space="preserve">sort de l’enveloppe définie par la référence de puissance active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ref</m:t>
            </m:r>
          </m:sub>
        </m:sSub>
      </m:oMath>
      <w:r w:rsidR="00030C4B">
        <w:rPr>
          <w:szCs w:val="24"/>
        </w:rPr>
        <w:t xml:space="preserve">, </w:t>
      </w:r>
      <w:r w:rsidR="00030C4B">
        <w:rPr>
          <w:szCs w:val="24"/>
        </w:rPr>
        <w:lastRenderedPageBreak/>
        <w:t xml:space="preserve">telle que définie dans le CCTP, et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ref</m:t>
            </m:r>
          </m:sub>
        </m:sSub>
      </m:oMath>
      <w:r w:rsidR="009309E4">
        <w:rPr>
          <w:szCs w:val="24"/>
        </w:rPr>
        <w:t xml:space="preserve"> filtrée à l’aide d’un filtre passe-bas du second ordre paramétrée avec le temps de réponse à 5% maximal contractuel et le dépassement maximal contractuel fournie dans la fiche de Recueil des Performances, </w:t>
      </w:r>
      <w:r w:rsidR="009309E4" w:rsidRPr="00DA2F93">
        <w:t>le Stockeur sera redevable d’une pénalité (P</w:t>
      </w:r>
      <w:r w:rsidR="009309E4" w:rsidRPr="00DA2F93">
        <w:rPr>
          <w:vertAlign w:val="subscript"/>
        </w:rPr>
        <w:t>TRP</w:t>
      </w:r>
      <w:r w:rsidR="009309E4" w:rsidRPr="00DA2F93">
        <w:t>) calculée d’après la formule suivante :</w:t>
      </w:r>
    </w:p>
    <w:p w14:paraId="1F2712A6" w14:textId="4D666E5B" w:rsidR="00632CF4" w:rsidRPr="000243CB" w:rsidRDefault="009309E4" w:rsidP="000243CB">
      <w:pPr>
        <w:jc w:val="center"/>
        <w:rPr>
          <w:szCs w:val="24"/>
          <w:lang w:val="en-US"/>
        </w:rPr>
      </w:pPr>
      <w:r w:rsidRPr="000243CB">
        <w:rPr>
          <w:b/>
          <w:color w:val="000000" w:themeColor="text1"/>
          <w:lang w:val="en-US"/>
        </w:rPr>
        <w:t>P</w:t>
      </w:r>
      <w:r w:rsidRPr="000243CB">
        <w:rPr>
          <w:b/>
          <w:color w:val="000000" w:themeColor="text1"/>
          <w:vertAlign w:val="subscript"/>
          <w:lang w:val="en-US"/>
        </w:rPr>
        <w:t>TRP</w:t>
      </w:r>
      <w:r w:rsidRPr="000243CB">
        <w:rPr>
          <w:b/>
          <w:color w:val="000000" w:themeColor="text1"/>
          <w:lang w:val="en-US"/>
        </w:rPr>
        <w:t xml:space="preserve"> =</w:t>
      </w:r>
      <w:r w:rsidR="001C19F1" w:rsidRPr="000243CB">
        <w:rPr>
          <w:rFonts w:ascii="Cambria Math" w:hAnsi="Cambria Math"/>
          <w:b/>
          <w:bCs/>
          <w:iCs/>
          <w:lang w:val="en-US"/>
        </w:rPr>
        <w:t xml:space="preserve"> </w:t>
      </w:r>
      <m:oMath>
        <m:r>
          <m:rPr>
            <m:sty m:val="b"/>
          </m:rPr>
          <w:rPr>
            <w:rFonts w:ascii="Cambria Math" w:hAnsi="Cambria Math"/>
          </w:rPr>
          <m:t>puissance</m:t>
        </m:r>
        <m:r>
          <m:rPr>
            <m:sty m:val="b"/>
          </m:rPr>
          <w:rPr>
            <w:rFonts w:ascii="Cambria Math" w:hAnsi="Cambria Math"/>
            <w:lang w:val="en-US"/>
          </w:rPr>
          <m:t xml:space="preserve"> </m:t>
        </m:r>
        <m:r>
          <m:rPr>
            <m:sty m:val="b"/>
          </m:rPr>
          <w:rPr>
            <w:rFonts w:ascii="Cambria Math" w:hAnsi="Cambria Math"/>
          </w:rPr>
          <m:t>active</m:t>
        </m:r>
        <m:r>
          <m:rPr>
            <m:sty m:val="b"/>
          </m:rPr>
          <w:rPr>
            <w:rFonts w:ascii="Cambria Math" w:hAnsi="Cambria Math"/>
            <w:lang w:val="en-US"/>
          </w:rPr>
          <m:t xml:space="preserve"> </m:t>
        </m:r>
        <m:sSup>
          <m:sSupPr>
            <m:ctrlPr>
              <w:rPr>
                <w:rFonts w:ascii="Cambria Math" w:hAnsi="Cambria Math"/>
                <w:b/>
                <w:bCs/>
                <w:iCs/>
              </w:rPr>
            </m:ctrlPr>
          </m:sSupPr>
          <m:e>
            <m:r>
              <m:rPr>
                <m:sty m:val="b"/>
              </m:rPr>
              <w:rPr>
                <w:rFonts w:ascii="Cambria Math" w:hAnsi="Cambria Math"/>
              </w:rPr>
              <m:t>d</m:t>
            </m:r>
          </m:e>
          <m:sup>
            <m:r>
              <m:rPr>
                <m:sty m:val="b"/>
              </m:rPr>
              <w:rPr>
                <w:rFonts w:ascii="Cambria Math" w:hAnsi="Cambria Math"/>
                <w:lang w:val="en-US"/>
              </w:rPr>
              <m:t>'</m:t>
            </m:r>
          </m:sup>
        </m:sSup>
        <m:r>
          <m:rPr>
            <m:sty m:val="b"/>
          </m:rPr>
          <w:rPr>
            <w:rFonts w:ascii="Cambria Math" w:hAnsi="Cambria Math"/>
          </w:rPr>
          <m:t>injection</m:t>
        </m:r>
        <m:r>
          <m:rPr>
            <m:sty m:val="b"/>
          </m:rPr>
          <w:rPr>
            <w:rFonts w:ascii="Cambria Math" w:hAnsi="Cambria Math"/>
            <w:lang w:val="en-US"/>
          </w:rPr>
          <m:t xml:space="preserve"> </m:t>
        </m:r>
        <m:r>
          <m:rPr>
            <m:sty m:val="b"/>
          </m:rPr>
          <w:rPr>
            <w:rFonts w:ascii="Cambria Math" w:hAnsi="Cambria Math"/>
          </w:rPr>
          <m:t>contractuelle</m:t>
        </m:r>
        <m:r>
          <m:rPr>
            <m:sty m:val="b"/>
          </m:rPr>
          <w:rPr>
            <w:rFonts w:ascii="Cambria Math" w:hAnsi="Cambria Math" w:hint="eastAsia"/>
            <w:lang w:val="en-US"/>
          </w:rPr>
          <m:t>×</m:t>
        </m:r>
        <m:r>
          <m:rPr>
            <m:sty m:val="b"/>
          </m:rPr>
          <w:rPr>
            <w:rFonts w:ascii="Cambria Math" w:hAnsi="Cambria Math"/>
          </w:rPr>
          <m:t>1</m:t>
        </m:r>
        <m:r>
          <m:rPr>
            <m:sty m:val="b"/>
          </m:rPr>
          <w:rPr>
            <w:rFonts w:ascii="Cambria Math" w:hAnsi="Cambria Math"/>
            <w:lang w:val="en-US"/>
          </w:rPr>
          <m:t xml:space="preserve"> </m:t>
        </m:r>
        <m:r>
          <m:rPr>
            <m:sty m:val="b"/>
          </m:rPr>
          <w:rPr>
            <w:rFonts w:ascii="Cambria Math" w:hAnsi="Cambria Math"/>
          </w:rPr>
          <m:t>heure</m:t>
        </m:r>
        <m:r>
          <m:rPr>
            <m:sty m:val="bi"/>
          </m:rPr>
          <w:rPr>
            <w:rFonts w:ascii="Cambria Math" w:hAnsi="Cambria Math" w:hint="eastAsia"/>
            <w:lang w:val="en-US"/>
          </w:rPr>
          <m:t>×</m:t>
        </m:r>
        <m:r>
          <m:rPr>
            <m:sty m:val="bi"/>
          </m:rPr>
          <w:rPr>
            <w:rFonts w:ascii="Cambria Math" w:hAnsi="Cambria Math"/>
          </w:rPr>
          <m:t>1</m:t>
        </m:r>
        <m:r>
          <m:rPr>
            <m:sty m:val="bi"/>
          </m:rPr>
          <w:rPr>
            <w:rFonts w:ascii="Cambria Math" w:hAnsi="Cambria Math"/>
            <w:lang w:val="en-US"/>
          </w:rPr>
          <m:t xml:space="preserve"> </m:t>
        </m:r>
        <m:r>
          <m:rPr>
            <m:sty m:val="bi"/>
          </m:rPr>
          <w:rPr>
            <w:rFonts w:ascii="Cambria Math" w:hAnsi="Cambria Math"/>
          </w:rPr>
          <m:t>MUP</m:t>
        </m:r>
      </m:oMath>
    </w:p>
    <w:p w14:paraId="42AE2C0F" w14:textId="77777777" w:rsidR="00F14CC7" w:rsidRPr="000243CB" w:rsidRDefault="00F14CC7" w:rsidP="00F9040A">
      <w:pPr>
        <w:jc w:val="both"/>
        <w:rPr>
          <w:szCs w:val="24"/>
          <w:lang w:val="en-US"/>
        </w:rPr>
      </w:pPr>
    </w:p>
    <w:p w14:paraId="5F0BD8CB" w14:textId="51D3BAB2" w:rsidR="00F9040A" w:rsidRDefault="00F9040A" w:rsidP="00F9040A">
      <w:pPr>
        <w:jc w:val="both"/>
        <w:rPr>
          <w:szCs w:val="24"/>
        </w:rPr>
      </w:pPr>
      <w:r w:rsidRPr="00DA2F93">
        <w:rPr>
          <w:szCs w:val="24"/>
        </w:rPr>
        <w:t xml:space="preserve">La pénalité est due dès la première occurrence de l’événement </w:t>
      </w:r>
      <w:proofErr w:type="spellStart"/>
      <w:r w:rsidRPr="00DA2F93">
        <w:rPr>
          <w:szCs w:val="24"/>
        </w:rPr>
        <w:t>pénalisable</w:t>
      </w:r>
      <w:proofErr w:type="spellEnd"/>
      <w:r w:rsidR="00F14CC7">
        <w:rPr>
          <w:szCs w:val="24"/>
        </w:rPr>
        <w:t xml:space="preserve"> et est capée à 1 heure par jour calendaire</w:t>
      </w:r>
      <w:r w:rsidRPr="00DA2F93">
        <w:rPr>
          <w:szCs w:val="24"/>
        </w:rPr>
        <w:t>.</w:t>
      </w:r>
    </w:p>
    <w:p w14:paraId="5A0DB7EC" w14:textId="77777777" w:rsidR="009A0687" w:rsidRPr="00DA2F93" w:rsidRDefault="009A0687" w:rsidP="00F9040A">
      <w:pPr>
        <w:jc w:val="both"/>
        <w:rPr>
          <w:szCs w:val="24"/>
        </w:rPr>
      </w:pPr>
    </w:p>
    <w:p w14:paraId="266760F2" w14:textId="4510A27F" w:rsidR="00D2007D" w:rsidRDefault="00D2007D" w:rsidP="00D2007D">
      <w:pPr>
        <w:pStyle w:val="EDFTitre2"/>
      </w:pPr>
      <w:bookmarkStart w:id="248" w:name="_Toc108185108"/>
      <w:bookmarkStart w:id="249" w:name="_Toc108185113"/>
      <w:bookmarkStart w:id="250" w:name="_Toc108185115"/>
      <w:bookmarkStart w:id="251" w:name="_Toc108185117"/>
      <w:bookmarkStart w:id="252" w:name="_Toc108185118"/>
      <w:bookmarkStart w:id="253" w:name="_Toc108185119"/>
      <w:bookmarkStart w:id="254" w:name="_Ref108184126"/>
      <w:bookmarkStart w:id="255" w:name="_Toc110436477"/>
      <w:bookmarkEnd w:id="248"/>
      <w:bookmarkEnd w:id="249"/>
      <w:bookmarkEnd w:id="250"/>
      <w:bookmarkEnd w:id="251"/>
      <w:bookmarkEnd w:id="252"/>
      <w:bookmarkEnd w:id="253"/>
      <w:r>
        <w:t>Echec du renvoi de tension</w:t>
      </w:r>
      <w:r w:rsidR="0074268E">
        <w:t xml:space="preserve"> (« ERT</w:t>
      </w:r>
      <w:r w:rsidR="00186697">
        <w:t> »</w:t>
      </w:r>
      <w:r w:rsidR="0074268E">
        <w:t>)</w:t>
      </w:r>
      <w:bookmarkEnd w:id="254"/>
      <w:bookmarkEnd w:id="255"/>
    </w:p>
    <w:p w14:paraId="31914FA4" w14:textId="5F04B72F" w:rsidR="00933473" w:rsidRDefault="00933473" w:rsidP="000243CB">
      <w:pPr>
        <w:jc w:val="both"/>
        <w:rPr>
          <w:szCs w:val="24"/>
        </w:rPr>
      </w:pPr>
      <w:r w:rsidRPr="00495BBE">
        <w:rPr>
          <w:szCs w:val="24"/>
        </w:rPr>
        <w:t>Le stockeur s’engage</w:t>
      </w:r>
      <w:r>
        <w:rPr>
          <w:szCs w:val="24"/>
        </w:rPr>
        <w:t xml:space="preserve"> à la capacité de l’Installation à réaliser une séquence de black </w:t>
      </w:r>
      <w:proofErr w:type="spellStart"/>
      <w:r>
        <w:rPr>
          <w:szCs w:val="24"/>
        </w:rPr>
        <w:t>start</w:t>
      </w:r>
      <w:proofErr w:type="spellEnd"/>
      <w:r>
        <w:rPr>
          <w:szCs w:val="24"/>
        </w:rPr>
        <w:t xml:space="preserve"> suivi d’un renvoi de tension conformément aux exigences du CCTP.</w:t>
      </w:r>
    </w:p>
    <w:p w14:paraId="52F462AF" w14:textId="4C4DC595" w:rsidR="0074268E" w:rsidRPr="00EA3249" w:rsidRDefault="0074268E" w:rsidP="000243CB">
      <w:pPr>
        <w:jc w:val="both"/>
        <w:rPr>
          <w:szCs w:val="24"/>
        </w:rPr>
      </w:pPr>
      <w:r>
        <w:rPr>
          <w:szCs w:val="24"/>
        </w:rPr>
        <w:t xml:space="preserve">Si l’Installation échoue successivement trois fois à réaliser une séquence de black </w:t>
      </w:r>
      <w:proofErr w:type="spellStart"/>
      <w:r>
        <w:rPr>
          <w:szCs w:val="24"/>
        </w:rPr>
        <w:t>start</w:t>
      </w:r>
      <w:proofErr w:type="spellEnd"/>
      <w:r>
        <w:rPr>
          <w:szCs w:val="24"/>
        </w:rPr>
        <w:t xml:space="preserve"> suivi d’un renvoi de tension, le Stockeur est redevable d’une pénalité </w:t>
      </w:r>
      <w:r w:rsidRPr="001E4AE7">
        <w:rPr>
          <w:szCs w:val="24"/>
        </w:rPr>
        <w:t>(P</w:t>
      </w:r>
      <w:r w:rsidRPr="000243CB">
        <w:rPr>
          <w:szCs w:val="24"/>
        </w:rPr>
        <w:t>ERT</w:t>
      </w:r>
      <w:r w:rsidRPr="001E4AE7">
        <w:rPr>
          <w:szCs w:val="24"/>
        </w:rPr>
        <w:t>) calculée d’après la formule suivante :</w:t>
      </w:r>
    </w:p>
    <w:p w14:paraId="274FD585" w14:textId="41D9430B" w:rsidR="0074268E" w:rsidRDefault="0074268E" w:rsidP="0074268E">
      <w:pPr>
        <w:jc w:val="center"/>
        <w:rPr>
          <w:b/>
          <w:bCs/>
          <w:iCs/>
        </w:rPr>
      </w:pPr>
      <w:r w:rsidRPr="00186697">
        <w:rPr>
          <w:b/>
          <w:bCs/>
        </w:rPr>
        <w:t>P</w:t>
      </w:r>
      <w:r w:rsidRPr="00186697">
        <w:rPr>
          <w:b/>
          <w:bCs/>
          <w:vertAlign w:val="subscript"/>
        </w:rPr>
        <w:t xml:space="preserve">ERT </w:t>
      </w:r>
      <w:r w:rsidRPr="00186697">
        <w:rPr>
          <w:b/>
          <w:bCs/>
        </w:rPr>
        <w:t xml:space="preserve">= 5 * MUP * </w:t>
      </w:r>
      <m:oMath>
        <m:r>
          <m:rPr>
            <m:sty m:val="b"/>
          </m:rPr>
          <w:rPr>
            <w:rFonts w:ascii="Cambria Math" w:hAnsi="Cambria Math"/>
          </w:rPr>
          <m:t xml:space="preserve">puissance active </m:t>
        </m:r>
        <m:sSup>
          <m:sSupPr>
            <m:ctrlPr>
              <w:rPr>
                <w:rFonts w:ascii="Cambria Math" w:hAnsi="Cambria Math"/>
                <w:b/>
                <w:bCs/>
                <w:iCs/>
              </w:rPr>
            </m:ctrlPr>
          </m:sSupPr>
          <m:e>
            <m:r>
              <m:rPr>
                <m:sty m:val="b"/>
              </m:rPr>
              <w:rPr>
                <w:rFonts w:ascii="Cambria Math" w:hAnsi="Cambria Math"/>
              </w:rPr>
              <m:t>d</m:t>
            </m:r>
          </m:e>
          <m:sup>
            <m:r>
              <m:rPr>
                <m:sty m:val="b"/>
              </m:rPr>
              <w:rPr>
                <w:rFonts w:ascii="Cambria Math" w:hAnsi="Cambria Math"/>
              </w:rPr>
              <m:t>'</m:t>
            </m:r>
          </m:sup>
        </m:sSup>
        <m:r>
          <m:rPr>
            <m:sty m:val="b"/>
          </m:rPr>
          <w:rPr>
            <w:rFonts w:ascii="Cambria Math" w:hAnsi="Cambria Math"/>
          </w:rPr>
          <m:t>injection contractuelle</m:t>
        </m:r>
      </m:oMath>
      <w:r w:rsidR="00186697" w:rsidRPr="00186697">
        <w:rPr>
          <w:b/>
          <w:bCs/>
          <w:iCs/>
        </w:rPr>
        <w:t xml:space="preserve"> * 1 he</w:t>
      </w:r>
      <w:r w:rsidR="00186697" w:rsidRPr="000243CB">
        <w:rPr>
          <w:b/>
          <w:bCs/>
          <w:iCs/>
        </w:rPr>
        <w:t>ure</w:t>
      </w:r>
    </w:p>
    <w:p w14:paraId="46EDCA66" w14:textId="2B7A76E2" w:rsidR="00F14CC7" w:rsidRDefault="00F14CC7" w:rsidP="0074268E">
      <w:pPr>
        <w:jc w:val="center"/>
        <w:rPr>
          <w:b/>
          <w:bCs/>
          <w:iCs/>
        </w:rPr>
      </w:pPr>
    </w:p>
    <w:p w14:paraId="142F8F0D" w14:textId="7F8F9C1E" w:rsidR="00F14CC7" w:rsidRPr="00186697" w:rsidRDefault="00F14CC7" w:rsidP="000243CB">
      <w:pPr>
        <w:jc w:val="both"/>
        <w:rPr>
          <w:b/>
          <w:bCs/>
        </w:rPr>
      </w:pPr>
      <w:r w:rsidRPr="00DA2F93">
        <w:rPr>
          <w:szCs w:val="24"/>
        </w:rPr>
        <w:t xml:space="preserve">La pénalité est due dès la première occurrence de l’événement </w:t>
      </w:r>
      <w:proofErr w:type="spellStart"/>
      <w:r w:rsidRPr="00DA2F93">
        <w:rPr>
          <w:szCs w:val="24"/>
        </w:rPr>
        <w:t>pénalisable</w:t>
      </w:r>
      <w:proofErr w:type="spellEnd"/>
    </w:p>
    <w:p w14:paraId="4BBF6EA6" w14:textId="77777777" w:rsidR="00C73998" w:rsidRPr="00186697" w:rsidRDefault="00C73998" w:rsidP="005E0625">
      <w:pPr>
        <w:jc w:val="both"/>
      </w:pPr>
    </w:p>
    <w:p w14:paraId="1A60AAEE" w14:textId="4BBF888D" w:rsidR="00C752F3" w:rsidRPr="00DA2F93" w:rsidRDefault="00941290" w:rsidP="000548E3">
      <w:pPr>
        <w:pStyle w:val="EDFTitre1"/>
        <w:jc w:val="both"/>
      </w:pPr>
      <w:bookmarkStart w:id="256" w:name="_Toc108158477"/>
      <w:bookmarkStart w:id="257" w:name="_Toc108158586"/>
      <w:bookmarkStart w:id="258" w:name="_Toc108174296"/>
      <w:bookmarkStart w:id="259" w:name="_Toc108174407"/>
      <w:bookmarkStart w:id="260" w:name="_Toc108174527"/>
      <w:bookmarkStart w:id="261" w:name="_Toc108174692"/>
      <w:bookmarkStart w:id="262" w:name="_Toc108185121"/>
      <w:bookmarkStart w:id="263" w:name="_Toc108158480"/>
      <w:bookmarkStart w:id="264" w:name="_Toc108158589"/>
      <w:bookmarkStart w:id="265" w:name="_Toc108174299"/>
      <w:bookmarkStart w:id="266" w:name="_Toc108174410"/>
      <w:bookmarkStart w:id="267" w:name="_Toc108174530"/>
      <w:bookmarkStart w:id="268" w:name="_Toc108174695"/>
      <w:bookmarkStart w:id="269" w:name="_Toc108185124"/>
      <w:bookmarkStart w:id="270" w:name="_Toc108158481"/>
      <w:bookmarkStart w:id="271" w:name="_Toc108158590"/>
      <w:bookmarkStart w:id="272" w:name="_Toc108174300"/>
      <w:bookmarkStart w:id="273" w:name="_Toc108174411"/>
      <w:bookmarkStart w:id="274" w:name="_Toc108174531"/>
      <w:bookmarkStart w:id="275" w:name="_Toc108174696"/>
      <w:bookmarkStart w:id="276" w:name="_Toc108185125"/>
      <w:bookmarkStart w:id="277" w:name="_Toc108158482"/>
      <w:bookmarkStart w:id="278" w:name="_Toc108158591"/>
      <w:bookmarkStart w:id="279" w:name="_Toc108174301"/>
      <w:bookmarkStart w:id="280" w:name="_Toc108174412"/>
      <w:bookmarkStart w:id="281" w:name="_Toc108174532"/>
      <w:bookmarkStart w:id="282" w:name="_Toc108174697"/>
      <w:bookmarkStart w:id="283" w:name="_Toc108185126"/>
      <w:bookmarkStart w:id="284" w:name="_Toc108158483"/>
      <w:bookmarkStart w:id="285" w:name="_Toc108158592"/>
      <w:bookmarkStart w:id="286" w:name="_Toc108174302"/>
      <w:bookmarkStart w:id="287" w:name="_Toc108174413"/>
      <w:bookmarkStart w:id="288" w:name="_Toc108174533"/>
      <w:bookmarkStart w:id="289" w:name="_Toc108174698"/>
      <w:bookmarkStart w:id="290" w:name="_Toc108185127"/>
      <w:bookmarkStart w:id="291" w:name="_Toc108158484"/>
      <w:bookmarkStart w:id="292" w:name="_Toc108158593"/>
      <w:bookmarkStart w:id="293" w:name="_Toc108174303"/>
      <w:bookmarkStart w:id="294" w:name="_Toc108174414"/>
      <w:bookmarkStart w:id="295" w:name="_Toc108174534"/>
      <w:bookmarkStart w:id="296" w:name="_Toc108174699"/>
      <w:bookmarkStart w:id="297" w:name="_Toc108185128"/>
      <w:bookmarkStart w:id="298" w:name="_Toc108158485"/>
      <w:bookmarkStart w:id="299" w:name="_Toc108158594"/>
      <w:bookmarkStart w:id="300" w:name="_Toc108174304"/>
      <w:bookmarkStart w:id="301" w:name="_Toc108174415"/>
      <w:bookmarkStart w:id="302" w:name="_Toc108174535"/>
      <w:bookmarkStart w:id="303" w:name="_Toc108174700"/>
      <w:bookmarkStart w:id="304" w:name="_Toc108185129"/>
      <w:bookmarkStart w:id="305" w:name="_Toc492312397"/>
      <w:bookmarkStart w:id="306" w:name="_Toc492485189"/>
      <w:bookmarkStart w:id="307" w:name="_Toc492485273"/>
      <w:bookmarkStart w:id="308" w:name="_Toc108113962"/>
      <w:bookmarkStart w:id="309" w:name="_Toc11043647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t>Prime</w:t>
      </w:r>
      <w:r w:rsidR="00FF0E25">
        <w:t xml:space="preserve"> de </w:t>
      </w:r>
      <w:r>
        <w:t>coûts</w:t>
      </w:r>
      <w:r w:rsidR="00FF0E25">
        <w:t xml:space="preserve"> </w:t>
      </w:r>
      <w:bookmarkEnd w:id="308"/>
      <w:r>
        <w:t>variables</w:t>
      </w:r>
      <w:bookmarkEnd w:id="309"/>
    </w:p>
    <w:p w14:paraId="098A38D1" w14:textId="225754CA" w:rsidR="00585248" w:rsidRPr="00DA2F93" w:rsidRDefault="000334EA" w:rsidP="00585248">
      <w:pPr>
        <w:jc w:val="both"/>
      </w:pPr>
      <w:r w:rsidRPr="00DA2F93">
        <w:t xml:space="preserve">Dans le présent </w:t>
      </w:r>
      <w:r w:rsidR="003514A6">
        <w:t>C</w:t>
      </w:r>
      <w:r w:rsidR="003514A6" w:rsidRPr="00DA2F93">
        <w:t>ontrat</w:t>
      </w:r>
      <w:r w:rsidRPr="00DA2F93">
        <w:t>, il n’est fixé aucun objectif en terme</w:t>
      </w:r>
      <w:r w:rsidR="00D64324" w:rsidRPr="00DA2F93">
        <w:t>s</w:t>
      </w:r>
      <w:r w:rsidR="000E1606" w:rsidRPr="00DA2F93">
        <w:t xml:space="preserve"> de quantités</w:t>
      </w:r>
      <w:r w:rsidR="00797524">
        <w:t xml:space="preserve"> d’énergie</w:t>
      </w:r>
      <w:r w:rsidR="000E1606" w:rsidRPr="00DA2F93">
        <w:t>, ni à injecter ou soutirer</w:t>
      </w:r>
      <w:r w:rsidRPr="00DA2F93">
        <w:t xml:space="preserve"> pour le </w:t>
      </w:r>
      <w:r w:rsidR="00554628" w:rsidRPr="00DA2F93">
        <w:t>Stockeur</w:t>
      </w:r>
      <w:r w:rsidRPr="00DA2F93">
        <w:t>, ni à enlever pour l</w:t>
      </w:r>
      <w:r w:rsidR="00673CB8" w:rsidRPr="00DA2F93">
        <w:t xml:space="preserve">e </w:t>
      </w:r>
      <w:r w:rsidR="00B361C0">
        <w:t>GRT</w:t>
      </w:r>
      <w:r w:rsidRPr="00DA2F93">
        <w:t>.</w:t>
      </w:r>
    </w:p>
    <w:p w14:paraId="16B260ED" w14:textId="352BED35" w:rsidR="00022C58" w:rsidRDefault="007C2DCF" w:rsidP="000243CB">
      <w:pPr>
        <w:pStyle w:val="corpsdetexte0"/>
        <w:rPr>
          <w:rFonts w:ascii="Arial" w:hAnsi="Arial"/>
          <w:sz w:val="22"/>
        </w:rPr>
      </w:pPr>
      <w:r w:rsidRPr="00DA2F93">
        <w:rPr>
          <w:rFonts w:ascii="Arial" w:hAnsi="Arial"/>
          <w:sz w:val="22"/>
        </w:rPr>
        <w:t>L</w:t>
      </w:r>
      <w:r w:rsidR="00FF0E25">
        <w:rPr>
          <w:rFonts w:ascii="Arial" w:hAnsi="Arial"/>
          <w:sz w:val="22"/>
        </w:rPr>
        <w:t>a</w:t>
      </w:r>
      <w:r w:rsidRPr="00DA2F93">
        <w:rPr>
          <w:rFonts w:ascii="Arial" w:hAnsi="Arial"/>
          <w:sz w:val="22"/>
        </w:rPr>
        <w:t xml:space="preserve"> </w:t>
      </w:r>
      <w:r w:rsidR="00FF0E25">
        <w:rPr>
          <w:rFonts w:ascii="Arial" w:hAnsi="Arial"/>
          <w:sz w:val="22"/>
        </w:rPr>
        <w:t>Prime de coûts variables,</w:t>
      </w:r>
      <w:r w:rsidRPr="00DA2F93">
        <w:rPr>
          <w:rFonts w:ascii="Arial" w:hAnsi="Arial"/>
          <w:sz w:val="22"/>
        </w:rPr>
        <w:t xml:space="preserve"> rémunère au Stockeur</w:t>
      </w:r>
      <w:r w:rsidR="00FF0E25">
        <w:rPr>
          <w:rFonts w:ascii="Arial" w:hAnsi="Arial"/>
          <w:sz w:val="22"/>
        </w:rPr>
        <w:t xml:space="preserve"> </w:t>
      </w:r>
      <w:r w:rsidRPr="00DA2F93">
        <w:rPr>
          <w:rFonts w:ascii="Arial" w:hAnsi="Arial"/>
          <w:sz w:val="22"/>
        </w:rPr>
        <w:t>les coûts variables liés à l’achat de consommables et aux divers frais de maintenance et d’exploitation proportionnels au volume d’électricité soutiré ou injecté.</w:t>
      </w:r>
    </w:p>
    <w:p w14:paraId="6AF4A377" w14:textId="77777777" w:rsidR="007C12C6" w:rsidRPr="00DA2F93" w:rsidRDefault="007C12C6" w:rsidP="004610CF">
      <w:pPr>
        <w:pStyle w:val="corpsdetexte0"/>
        <w:rPr>
          <w:rFonts w:ascii="Arial" w:hAnsi="Arial"/>
          <w:sz w:val="22"/>
        </w:rPr>
      </w:pPr>
    </w:p>
    <w:p w14:paraId="543D2403" w14:textId="409684F1" w:rsidR="007C2DCF" w:rsidRPr="00DA2F93" w:rsidRDefault="007C2DCF" w:rsidP="007C2DCF">
      <w:pPr>
        <w:jc w:val="both"/>
      </w:pPr>
      <w:r w:rsidRPr="00DA2F93">
        <w:t xml:space="preserve">La valeur de référence </w:t>
      </w:r>
      <w:r w:rsidR="009E2589">
        <w:t>de la Prime de Coûts Variables</w:t>
      </w:r>
      <w:r w:rsidRPr="00DA2F93">
        <w:t xml:space="preserve"> est déterminée sur la base des données prévisionnelles suivantes :</w:t>
      </w:r>
    </w:p>
    <w:p w14:paraId="489B5E9B" w14:textId="77777777" w:rsidR="007C2DCF" w:rsidRPr="00DA2F93" w:rsidRDefault="007C2DCF" w:rsidP="007C2DCF">
      <w:pPr>
        <w:pStyle w:val="Paragraphedeliste"/>
        <w:numPr>
          <w:ilvl w:val="0"/>
          <w:numId w:val="6"/>
        </w:numPr>
        <w:ind w:left="357" w:hanging="357"/>
        <w:jc w:val="both"/>
        <w:rPr>
          <w:rFonts w:cs="Arial"/>
        </w:rPr>
      </w:pPr>
      <w:r w:rsidRPr="00DA2F93">
        <w:rPr>
          <w:rFonts w:cs="Arial"/>
        </w:rPr>
        <w:t>Coût de consommation de consommables ;</w:t>
      </w:r>
    </w:p>
    <w:p w14:paraId="0B894025" w14:textId="77777777" w:rsidR="007C2DCF" w:rsidRPr="00DA2F93" w:rsidRDefault="007C2DCF" w:rsidP="007C2DCF">
      <w:pPr>
        <w:pStyle w:val="Paragraphedeliste"/>
        <w:numPr>
          <w:ilvl w:val="0"/>
          <w:numId w:val="6"/>
        </w:numPr>
        <w:ind w:left="357" w:hanging="357"/>
        <w:jc w:val="both"/>
        <w:rPr>
          <w:rFonts w:cs="Arial"/>
        </w:rPr>
      </w:pPr>
      <w:r w:rsidRPr="00DA2F93">
        <w:rPr>
          <w:rFonts w:cs="Arial"/>
        </w:rPr>
        <w:t>Part variable de la conduite, de l’exploitation et de la maintenance de l’Installation.</w:t>
      </w:r>
    </w:p>
    <w:p w14:paraId="2B6E8B22" w14:textId="112EEBF1" w:rsidR="007C2DCF" w:rsidRPr="00DA2F93" w:rsidRDefault="007C2DCF" w:rsidP="007C2DCF">
      <w:pPr>
        <w:pStyle w:val="corpsdetexte0"/>
        <w:rPr>
          <w:rFonts w:ascii="Arial" w:hAnsi="Arial"/>
          <w:sz w:val="22"/>
        </w:rPr>
      </w:pPr>
      <w:r w:rsidRPr="00DA2F93">
        <w:rPr>
          <w:rFonts w:ascii="Arial" w:hAnsi="Arial"/>
          <w:sz w:val="22"/>
        </w:rPr>
        <w:t xml:space="preserve">La valeur de référence initiale </w:t>
      </w:r>
      <w:r w:rsidR="009E2589">
        <w:rPr>
          <w:rFonts w:ascii="Arial" w:hAnsi="Arial"/>
          <w:sz w:val="22"/>
        </w:rPr>
        <w:t xml:space="preserve">de la </w:t>
      </w:r>
      <w:r w:rsidR="009E2589" w:rsidRPr="004A71C6">
        <w:rPr>
          <w:rFonts w:ascii="Arial" w:hAnsi="Arial"/>
          <w:sz w:val="22"/>
        </w:rPr>
        <w:t>Prime de Coûts Variables</w:t>
      </w:r>
      <w:r w:rsidR="009E2589">
        <w:rPr>
          <w:rFonts w:ascii="Arial" w:hAnsi="Arial"/>
          <w:sz w:val="22"/>
        </w:rPr>
        <w:t xml:space="preserve"> </w:t>
      </w:r>
      <w:r w:rsidRPr="00DA2F93">
        <w:rPr>
          <w:rFonts w:ascii="Arial" w:hAnsi="Arial"/>
          <w:sz w:val="22"/>
        </w:rPr>
        <w:t>(</w:t>
      </w:r>
      <w:r w:rsidR="009E2589" w:rsidRPr="00DA2F93">
        <w:rPr>
          <w:rFonts w:ascii="Arial" w:hAnsi="Arial"/>
          <w:sz w:val="22"/>
        </w:rPr>
        <w:t>P</w:t>
      </w:r>
      <w:r w:rsidR="009E2589">
        <w:rPr>
          <w:rFonts w:ascii="Arial" w:hAnsi="Arial"/>
          <w:sz w:val="22"/>
        </w:rPr>
        <w:t>CV</w:t>
      </w:r>
      <w:r w:rsidR="009E2589" w:rsidRPr="00DA2F93">
        <w:rPr>
          <w:rFonts w:ascii="Arial" w:hAnsi="Arial"/>
          <w:sz w:val="22"/>
          <w:vertAlign w:val="subscript"/>
        </w:rPr>
        <w:t>0</w:t>
      </w:r>
      <w:r w:rsidRPr="00DA2F93">
        <w:rPr>
          <w:rFonts w:ascii="Arial" w:hAnsi="Arial"/>
          <w:sz w:val="22"/>
        </w:rPr>
        <w:t>) est définie par la formule suivante</w:t>
      </w:r>
      <w:r w:rsidR="009E2589">
        <w:rPr>
          <w:rFonts w:ascii="Arial" w:hAnsi="Arial"/>
          <w:sz w:val="22"/>
        </w:rPr>
        <w:t> </w:t>
      </w:r>
      <w:r w:rsidRPr="00DA2F93">
        <w:rPr>
          <w:rFonts w:ascii="Arial" w:hAnsi="Arial"/>
          <w:sz w:val="22"/>
        </w:rPr>
        <w:t xml:space="preserve">: </w:t>
      </w:r>
    </w:p>
    <w:p w14:paraId="4ADC59F6" w14:textId="67C82B11" w:rsidR="007C2DCF" w:rsidRPr="00DA2F93" w:rsidRDefault="009E2589" w:rsidP="007C2DCF">
      <w:pPr>
        <w:pStyle w:val="corpsdetexte0"/>
        <w:rPr>
          <w:rFonts w:ascii="Arial" w:hAnsi="Arial"/>
          <w:b/>
          <w:sz w:val="22"/>
        </w:rPr>
      </w:pPr>
      <w:r w:rsidRPr="00DA2F93">
        <w:rPr>
          <w:rFonts w:ascii="Arial" w:hAnsi="Arial"/>
          <w:b/>
          <w:sz w:val="22"/>
        </w:rPr>
        <w:t>P</w:t>
      </w:r>
      <w:r>
        <w:rPr>
          <w:rFonts w:ascii="Arial" w:hAnsi="Arial"/>
          <w:b/>
          <w:sz w:val="22"/>
        </w:rPr>
        <w:t>CV</w:t>
      </w:r>
      <w:r w:rsidRPr="00DA2F93">
        <w:rPr>
          <w:rFonts w:ascii="Arial" w:hAnsi="Arial"/>
          <w:b/>
          <w:sz w:val="22"/>
          <w:vertAlign w:val="subscript"/>
        </w:rPr>
        <w:t>0</w:t>
      </w:r>
      <w:r w:rsidRPr="00DA2F93">
        <w:rPr>
          <w:rFonts w:ascii="Arial" w:hAnsi="Arial"/>
          <w:b/>
          <w:sz w:val="22"/>
        </w:rPr>
        <w:t xml:space="preserve"> </w:t>
      </w:r>
      <w:r w:rsidR="007C2DCF" w:rsidRPr="00DA2F93">
        <w:rPr>
          <w:rFonts w:ascii="Arial" w:hAnsi="Arial"/>
          <w:b/>
          <w:sz w:val="22"/>
        </w:rPr>
        <w:t>= coût de consommation des consommables (PCC</w:t>
      </w:r>
      <w:r w:rsidR="007C2DCF" w:rsidRPr="00DA2F93">
        <w:rPr>
          <w:rFonts w:ascii="Arial" w:hAnsi="Arial"/>
          <w:b/>
          <w:sz w:val="22"/>
          <w:vertAlign w:val="subscript"/>
        </w:rPr>
        <w:t>0</w:t>
      </w:r>
      <w:r w:rsidR="007C2DCF" w:rsidRPr="00DA2F93">
        <w:rPr>
          <w:rFonts w:ascii="Arial" w:hAnsi="Arial"/>
          <w:b/>
          <w:sz w:val="22"/>
        </w:rPr>
        <w:t>) + part variable de la maintenance (PM</w:t>
      </w:r>
      <w:r w:rsidR="007C2DCF" w:rsidRPr="00DA2F93">
        <w:rPr>
          <w:rFonts w:ascii="Arial" w:hAnsi="Arial"/>
          <w:b/>
          <w:sz w:val="22"/>
          <w:vertAlign w:val="subscript"/>
        </w:rPr>
        <w:t>0</w:t>
      </w:r>
      <w:r w:rsidR="007C2DCF" w:rsidRPr="00DA2F93">
        <w:rPr>
          <w:rFonts w:ascii="Arial" w:hAnsi="Arial"/>
          <w:b/>
          <w:sz w:val="22"/>
        </w:rPr>
        <w:t>)</w:t>
      </w:r>
    </w:p>
    <w:p w14:paraId="02741E91" w14:textId="77777777" w:rsidR="007C2DCF" w:rsidRPr="00DA2F93" w:rsidRDefault="007C2DCF" w:rsidP="007C2DCF">
      <w:pPr>
        <w:pStyle w:val="corpsdetexte0"/>
        <w:rPr>
          <w:rFonts w:ascii="Arial" w:hAnsi="Arial"/>
          <w:sz w:val="22"/>
        </w:rPr>
      </w:pPr>
      <w:r w:rsidRPr="00DA2F93">
        <w:rPr>
          <w:rFonts w:ascii="Arial" w:hAnsi="Arial"/>
          <w:sz w:val="22"/>
        </w:rPr>
        <w:t>Avec les coûts prévisionnels hors taxes suivants :</w:t>
      </w:r>
    </w:p>
    <w:p w14:paraId="3BC55F3E" w14:textId="07982582" w:rsidR="007C2DCF" w:rsidRPr="00DA2F93" w:rsidRDefault="007C2DCF" w:rsidP="007C2DCF">
      <w:pPr>
        <w:pStyle w:val="corpsdetexte0"/>
        <w:numPr>
          <w:ilvl w:val="0"/>
          <w:numId w:val="12"/>
        </w:numPr>
        <w:rPr>
          <w:rFonts w:ascii="Arial" w:hAnsi="Arial"/>
          <w:sz w:val="22"/>
        </w:rPr>
      </w:pPr>
      <w:r w:rsidRPr="00DA2F93">
        <w:rPr>
          <w:rFonts w:ascii="Arial" w:hAnsi="Arial"/>
          <w:sz w:val="22"/>
        </w:rPr>
        <w:t>Coût de consommation de consommables (</w:t>
      </w:r>
      <w:commentRangeStart w:id="310"/>
      <w:r w:rsidR="00E44A1E" w:rsidRPr="000243CB">
        <w:rPr>
          <w:rFonts w:ascii="Arial" w:hAnsi="Arial"/>
          <w:sz w:val="22"/>
          <w:highlight w:val="lightGray"/>
        </w:rPr>
        <w:t>XX</w:t>
      </w:r>
      <w:commentRangeEnd w:id="310"/>
      <w:r w:rsidR="006C731B">
        <w:rPr>
          <w:rStyle w:val="Marquedecommentaire"/>
          <w:rFonts w:ascii="Arial" w:eastAsia="Calibri" w:hAnsi="Arial" w:cs="Times New Roman"/>
        </w:rPr>
        <w:commentReference w:id="310"/>
      </w:r>
      <w:r w:rsidR="00F11266" w:rsidRPr="00DA2F93">
        <w:rPr>
          <w:rFonts w:ascii="Arial" w:hAnsi="Arial"/>
          <w:sz w:val="22"/>
        </w:rPr>
        <w:t xml:space="preserve"> </w:t>
      </w:r>
      <w:r w:rsidR="003A3709">
        <w:rPr>
          <w:rFonts w:ascii="Arial" w:hAnsi="Arial"/>
          <w:sz w:val="22"/>
        </w:rPr>
        <w:t>F CFP</w:t>
      </w:r>
      <w:r w:rsidRPr="00DA2F93">
        <w:rPr>
          <w:rFonts w:ascii="Arial" w:hAnsi="Arial"/>
          <w:sz w:val="22"/>
        </w:rPr>
        <w:t>/</w:t>
      </w:r>
      <w:proofErr w:type="spellStart"/>
      <w:r w:rsidRPr="00DA2F93">
        <w:rPr>
          <w:rFonts w:ascii="Arial" w:hAnsi="Arial"/>
          <w:sz w:val="22"/>
        </w:rPr>
        <w:t>MWh</w:t>
      </w:r>
      <w:proofErr w:type="spellEnd"/>
      <w:r w:rsidRPr="00DA2F93">
        <w:rPr>
          <w:rFonts w:ascii="Arial" w:hAnsi="Arial"/>
          <w:sz w:val="22"/>
        </w:rPr>
        <w:t xml:space="preserve"> d’électricité) ;</w:t>
      </w:r>
    </w:p>
    <w:p w14:paraId="1DE39AB4" w14:textId="72E39BCE" w:rsidR="007C2DCF" w:rsidRPr="00DA2F93" w:rsidRDefault="007C2DCF" w:rsidP="007C2DCF">
      <w:pPr>
        <w:pStyle w:val="corpsdetexte0"/>
        <w:numPr>
          <w:ilvl w:val="0"/>
          <w:numId w:val="12"/>
        </w:numPr>
        <w:rPr>
          <w:rFonts w:ascii="Arial" w:hAnsi="Arial"/>
          <w:sz w:val="22"/>
        </w:rPr>
      </w:pPr>
      <w:r w:rsidRPr="00DA2F93">
        <w:rPr>
          <w:rFonts w:ascii="Arial" w:hAnsi="Arial"/>
          <w:sz w:val="22"/>
        </w:rPr>
        <w:t>Part variable de la maintenance (</w:t>
      </w:r>
      <w:commentRangeStart w:id="311"/>
      <w:r w:rsidR="00E44A1E" w:rsidRPr="000243CB">
        <w:rPr>
          <w:rFonts w:ascii="Arial" w:hAnsi="Arial"/>
          <w:sz w:val="22"/>
          <w:highlight w:val="lightGray"/>
        </w:rPr>
        <w:t>XX</w:t>
      </w:r>
      <w:commentRangeEnd w:id="311"/>
      <w:r w:rsidR="006C731B">
        <w:rPr>
          <w:rStyle w:val="Marquedecommentaire"/>
          <w:rFonts w:ascii="Arial" w:eastAsia="Calibri" w:hAnsi="Arial" w:cs="Times New Roman"/>
        </w:rPr>
        <w:commentReference w:id="311"/>
      </w:r>
      <w:r w:rsidRPr="00DA2F93">
        <w:rPr>
          <w:rFonts w:ascii="Arial" w:hAnsi="Arial"/>
          <w:sz w:val="22"/>
        </w:rPr>
        <w:t xml:space="preserve"> </w:t>
      </w:r>
      <w:r w:rsidR="003A3709">
        <w:rPr>
          <w:rFonts w:ascii="Arial" w:hAnsi="Arial"/>
          <w:sz w:val="22"/>
        </w:rPr>
        <w:t>F CFP</w:t>
      </w:r>
      <w:r w:rsidRPr="00DA2F93">
        <w:rPr>
          <w:rFonts w:ascii="Arial" w:hAnsi="Arial"/>
          <w:sz w:val="22"/>
        </w:rPr>
        <w:t>/</w:t>
      </w:r>
      <w:proofErr w:type="spellStart"/>
      <w:r w:rsidRPr="00DA2F93">
        <w:rPr>
          <w:rFonts w:ascii="Arial" w:hAnsi="Arial"/>
          <w:sz w:val="22"/>
        </w:rPr>
        <w:t>MWh</w:t>
      </w:r>
      <w:proofErr w:type="spellEnd"/>
      <w:r w:rsidRPr="00DA2F93">
        <w:rPr>
          <w:rFonts w:ascii="Arial" w:hAnsi="Arial"/>
          <w:sz w:val="22"/>
        </w:rPr>
        <w:t xml:space="preserve"> d’électricité).</w:t>
      </w:r>
    </w:p>
    <w:p w14:paraId="3FB2B951" w14:textId="002F0036" w:rsidR="007C2DCF" w:rsidRPr="00DA2F93" w:rsidRDefault="009E2589" w:rsidP="007C2DCF">
      <w:pPr>
        <w:pStyle w:val="corpsdetexte0"/>
        <w:rPr>
          <w:rFonts w:ascii="Arial" w:hAnsi="Arial"/>
          <w:sz w:val="22"/>
        </w:rPr>
      </w:pPr>
      <w:r>
        <w:rPr>
          <w:rFonts w:ascii="Arial" w:hAnsi="Arial"/>
          <w:sz w:val="22"/>
        </w:rPr>
        <w:t>La Prime de Coûts Variables</w:t>
      </w:r>
      <w:r w:rsidR="007C2DCF" w:rsidRPr="00DA2F93">
        <w:rPr>
          <w:rFonts w:ascii="Arial" w:hAnsi="Arial"/>
          <w:sz w:val="22"/>
        </w:rPr>
        <w:t xml:space="preserve"> est ainsi fixé</w:t>
      </w:r>
      <w:r>
        <w:rPr>
          <w:rFonts w:ascii="Arial" w:hAnsi="Arial"/>
          <w:sz w:val="22"/>
        </w:rPr>
        <w:t>e</w:t>
      </w:r>
      <w:r w:rsidR="007C2DCF" w:rsidRPr="00DA2F93">
        <w:rPr>
          <w:rFonts w:ascii="Arial" w:hAnsi="Arial"/>
          <w:sz w:val="22"/>
        </w:rPr>
        <w:t xml:space="preserve"> à :</w:t>
      </w:r>
    </w:p>
    <w:tbl>
      <w:tblPr>
        <w:tblStyle w:val="Grilledutableau"/>
        <w:tblW w:w="0" w:type="auto"/>
        <w:tblLook w:val="04A0" w:firstRow="1" w:lastRow="0" w:firstColumn="1" w:lastColumn="0" w:noHBand="0" w:noVBand="1"/>
      </w:tblPr>
      <w:tblGrid>
        <w:gridCol w:w="5070"/>
        <w:gridCol w:w="5048"/>
      </w:tblGrid>
      <w:tr w:rsidR="007C2DCF" w:rsidRPr="00DA2F93" w14:paraId="05FC5D84" w14:textId="77777777" w:rsidTr="007C2DCF">
        <w:tc>
          <w:tcPr>
            <w:tcW w:w="5070" w:type="dxa"/>
            <w:vAlign w:val="center"/>
          </w:tcPr>
          <w:p w14:paraId="467C2EAB" w14:textId="20DD14CA" w:rsidR="007C2DCF" w:rsidRPr="00DA2F93" w:rsidRDefault="009E2589" w:rsidP="009E2589">
            <w:pPr>
              <w:pStyle w:val="corpsdetexte0"/>
              <w:rPr>
                <w:rFonts w:ascii="Arial" w:hAnsi="Arial"/>
                <w:b/>
                <w:bCs/>
                <w:sz w:val="22"/>
              </w:rPr>
            </w:pPr>
            <w:r w:rsidRPr="004A71C6">
              <w:rPr>
                <w:rFonts w:ascii="Arial" w:hAnsi="Arial"/>
                <w:b/>
                <w:sz w:val="22"/>
              </w:rPr>
              <w:t>Prime de Coûts Variables</w:t>
            </w:r>
            <w:r>
              <w:rPr>
                <w:rFonts w:ascii="Arial" w:hAnsi="Arial"/>
                <w:sz w:val="22"/>
              </w:rPr>
              <w:t xml:space="preserve"> </w:t>
            </w:r>
            <w:r w:rsidR="007C2DCF" w:rsidRPr="00DA2F93">
              <w:rPr>
                <w:rFonts w:ascii="Arial" w:hAnsi="Arial"/>
                <w:b/>
                <w:bCs/>
                <w:sz w:val="22"/>
              </w:rPr>
              <w:t>P</w:t>
            </w:r>
            <w:r>
              <w:rPr>
                <w:rFonts w:ascii="Arial" w:hAnsi="Arial"/>
                <w:b/>
                <w:bCs/>
                <w:sz w:val="22"/>
              </w:rPr>
              <w:t>CV</w:t>
            </w:r>
            <w:r w:rsidR="007C2DCF" w:rsidRPr="00DA2F93">
              <w:rPr>
                <w:rFonts w:ascii="Arial" w:hAnsi="Arial"/>
                <w:b/>
                <w:bCs/>
                <w:sz w:val="22"/>
                <w:vertAlign w:val="subscript"/>
              </w:rPr>
              <w:t>0</w:t>
            </w:r>
            <w:r w:rsidR="007C2DCF" w:rsidRPr="00DA2F93">
              <w:rPr>
                <w:rFonts w:ascii="Arial" w:hAnsi="Arial"/>
                <w:b/>
                <w:bCs/>
                <w:sz w:val="22"/>
              </w:rPr>
              <w:t xml:space="preserve"> </w:t>
            </w:r>
            <w:r w:rsidR="00E44A1E" w:rsidRPr="00DA2F93">
              <w:rPr>
                <w:rFonts w:ascii="Arial" w:hAnsi="Arial"/>
                <w:b/>
                <w:bCs/>
                <w:sz w:val="22"/>
              </w:rPr>
              <w:fldChar w:fldCharType="begin"/>
            </w:r>
            <w:r w:rsidR="007C2DCF" w:rsidRPr="00DA2F93">
              <w:rPr>
                <w:rFonts w:ascii="Arial" w:hAnsi="Arial"/>
                <w:b/>
                <w:bCs/>
                <w:sz w:val="22"/>
              </w:rPr>
              <w:instrText xml:space="preserve"> QUOTE </w:instrText>
            </w:r>
            <m:oMath>
              <m:sSub>
                <m:sSubPr>
                  <m:ctrlPr>
                    <w:rPr>
                      <w:rFonts w:ascii="Cambria Math" w:hAnsi="Cambria Math"/>
                      <w:i/>
                      <w:sz w:val="22"/>
                      <w:lang w:val="pt-BR"/>
                    </w:rPr>
                  </m:ctrlPr>
                </m:sSubPr>
                <m:e>
                  <m:r>
                    <m:rPr>
                      <m:sty m:val="p"/>
                    </m:rPr>
                    <w:rPr>
                      <w:rFonts w:ascii="Cambria Math" w:hAnsi="Cambria Math"/>
                      <w:sz w:val="22"/>
                      <w:lang w:val="pt-BR"/>
                    </w:rPr>
                    <m:t>PF</m:t>
                  </m:r>
                </m:e>
                <m:sub>
                  <m:r>
                    <m:rPr>
                      <m:sty m:val="p"/>
                    </m:rPr>
                    <w:rPr>
                      <w:rFonts w:ascii="Cambria Math" w:hAnsi="Cambria Math"/>
                      <w:sz w:val="22"/>
                      <w:lang w:val="pt-BR"/>
                    </w:rPr>
                    <m:t>0</m:t>
                  </m:r>
                </m:sub>
              </m:sSub>
            </m:oMath>
            <w:r w:rsidR="007C2DCF" w:rsidRPr="00DA2F93">
              <w:rPr>
                <w:rFonts w:ascii="Arial" w:hAnsi="Arial"/>
                <w:b/>
                <w:bCs/>
                <w:sz w:val="22"/>
              </w:rPr>
              <w:instrText xml:space="preserve"> </w:instrText>
            </w:r>
            <w:r w:rsidR="00E44A1E" w:rsidRPr="00DA2F93">
              <w:rPr>
                <w:rFonts w:ascii="Arial" w:hAnsi="Arial"/>
                <w:b/>
                <w:bCs/>
                <w:sz w:val="22"/>
              </w:rPr>
              <w:fldChar w:fldCharType="separate"/>
            </w:r>
            <m:oMath>
              <m:sSub>
                <m:sSubPr>
                  <m:ctrlPr>
                    <w:rPr>
                      <w:rFonts w:ascii="Cambria Math" w:hAnsi="Cambria Math"/>
                      <w:i/>
                      <w:sz w:val="22"/>
                      <w:lang w:val="pt-BR"/>
                    </w:rPr>
                  </m:ctrlPr>
                </m:sSubPr>
                <m:e>
                  <m:r>
                    <m:rPr>
                      <m:sty m:val="p"/>
                    </m:rPr>
                    <w:rPr>
                      <w:rFonts w:ascii="Cambria Math" w:hAnsi="Cambria Math"/>
                      <w:sz w:val="22"/>
                      <w:lang w:val="pt-BR"/>
                    </w:rPr>
                    <m:t>PF</m:t>
                  </m:r>
                </m:e>
                <m:sub>
                  <m:r>
                    <m:rPr>
                      <m:sty m:val="p"/>
                    </m:rPr>
                    <w:rPr>
                      <w:rFonts w:ascii="Cambria Math" w:hAnsi="Cambria Math"/>
                      <w:sz w:val="22"/>
                      <w:lang w:val="pt-BR"/>
                    </w:rPr>
                    <m:t>0</m:t>
                  </m:r>
                </m:sub>
              </m:sSub>
            </m:oMath>
            <w:r w:rsidR="00E44A1E" w:rsidRPr="00DA2F93">
              <w:rPr>
                <w:rFonts w:ascii="Arial" w:hAnsi="Arial"/>
                <w:b/>
                <w:bCs/>
                <w:sz w:val="22"/>
              </w:rPr>
              <w:fldChar w:fldCharType="end"/>
            </w:r>
          </w:p>
        </w:tc>
        <w:tc>
          <w:tcPr>
            <w:tcW w:w="5048" w:type="dxa"/>
            <w:vAlign w:val="center"/>
          </w:tcPr>
          <w:p w14:paraId="25173296" w14:textId="5C7352E3" w:rsidR="007C2DCF" w:rsidRPr="00DA2F93" w:rsidRDefault="003A3709" w:rsidP="007C2DCF">
            <w:pPr>
              <w:pStyle w:val="corpsdetexte0"/>
              <w:rPr>
                <w:rFonts w:ascii="Arial" w:hAnsi="Arial"/>
                <w:b/>
                <w:bCs/>
                <w:sz w:val="22"/>
              </w:rPr>
            </w:pPr>
            <w:r>
              <w:rPr>
                <w:rFonts w:ascii="Arial" w:hAnsi="Arial"/>
                <w:b/>
                <w:bCs/>
                <w:sz w:val="22"/>
              </w:rPr>
              <w:t>Francs CFP</w:t>
            </w:r>
            <w:r w:rsidR="007C2DCF" w:rsidRPr="00DA2F93">
              <w:rPr>
                <w:rFonts w:ascii="Arial" w:hAnsi="Arial"/>
                <w:b/>
                <w:bCs/>
                <w:sz w:val="22"/>
              </w:rPr>
              <w:t xml:space="preserve"> HT / </w:t>
            </w:r>
            <w:proofErr w:type="spellStart"/>
            <w:r w:rsidR="007C2DCF" w:rsidRPr="00DA2F93">
              <w:rPr>
                <w:rFonts w:ascii="Arial" w:hAnsi="Arial"/>
                <w:b/>
                <w:bCs/>
                <w:sz w:val="22"/>
              </w:rPr>
              <w:t>MWh</w:t>
            </w:r>
            <w:proofErr w:type="spellEnd"/>
          </w:p>
        </w:tc>
      </w:tr>
      <w:tr w:rsidR="007C2DCF" w:rsidRPr="00DA2F93" w14:paraId="2E4BE273" w14:textId="77777777" w:rsidTr="007C2DCF">
        <w:tc>
          <w:tcPr>
            <w:tcW w:w="5070" w:type="dxa"/>
            <w:vAlign w:val="center"/>
          </w:tcPr>
          <w:p w14:paraId="3D9C4D32" w14:textId="77777777" w:rsidR="007C2DCF" w:rsidRPr="00DA2F93" w:rsidRDefault="007C2DCF" w:rsidP="007C2DCF">
            <w:pPr>
              <w:pStyle w:val="corpsdetexte0"/>
              <w:rPr>
                <w:rFonts w:ascii="Arial" w:hAnsi="Arial"/>
                <w:sz w:val="22"/>
              </w:rPr>
            </w:pPr>
            <w:r w:rsidRPr="00DA2F93">
              <w:rPr>
                <w:rFonts w:ascii="Arial" w:hAnsi="Arial"/>
                <w:sz w:val="22"/>
              </w:rPr>
              <w:t>Valeur à la Date de référence</w:t>
            </w:r>
          </w:p>
        </w:tc>
        <w:tc>
          <w:tcPr>
            <w:tcW w:w="5048" w:type="dxa"/>
            <w:vAlign w:val="center"/>
          </w:tcPr>
          <w:p w14:paraId="304A5281" w14:textId="58D6CB9A" w:rsidR="007C2DCF" w:rsidRPr="00DA2F93" w:rsidRDefault="00E44A1E" w:rsidP="007C2DCF">
            <w:pPr>
              <w:pStyle w:val="corpsdetexte0"/>
              <w:rPr>
                <w:rFonts w:ascii="Arial" w:hAnsi="Arial"/>
                <w:sz w:val="22"/>
              </w:rPr>
            </w:pPr>
            <w:commentRangeStart w:id="312"/>
            <w:r w:rsidRPr="000243CB">
              <w:rPr>
                <w:rFonts w:ascii="Arial" w:hAnsi="Arial"/>
                <w:sz w:val="22"/>
                <w:highlight w:val="lightGray"/>
              </w:rPr>
              <w:t>XX</w:t>
            </w:r>
            <w:commentRangeEnd w:id="312"/>
            <w:r w:rsidR="006C731B">
              <w:rPr>
                <w:rStyle w:val="Marquedecommentaire"/>
                <w:rFonts w:ascii="Arial" w:eastAsia="Calibri" w:hAnsi="Arial" w:cs="Times New Roman"/>
              </w:rPr>
              <w:commentReference w:id="312"/>
            </w:r>
          </w:p>
        </w:tc>
      </w:tr>
    </w:tbl>
    <w:p w14:paraId="303B2979" w14:textId="77777777" w:rsidR="007C2DCF" w:rsidRPr="00DA2F93" w:rsidRDefault="007C2DCF" w:rsidP="007C2DCF">
      <w:pPr>
        <w:jc w:val="both"/>
        <w:rPr>
          <w:rFonts w:cs="Arial"/>
        </w:rPr>
      </w:pPr>
    </w:p>
    <w:p w14:paraId="1DF7FB5D" w14:textId="054ECE8A" w:rsidR="00774484" w:rsidRPr="00116DA5" w:rsidRDefault="00774484" w:rsidP="004A71C6">
      <w:pPr>
        <w:pStyle w:val="EDFTitre2"/>
      </w:pPr>
      <w:bookmarkStart w:id="313" w:name="_Toc108113963"/>
      <w:bookmarkStart w:id="314" w:name="_Toc110436479"/>
      <w:r w:rsidRPr="00116DA5">
        <w:t>Indexation de la Prime de coûts variables</w:t>
      </w:r>
      <w:bookmarkEnd w:id="313"/>
      <w:bookmarkEnd w:id="314"/>
    </w:p>
    <w:p w14:paraId="2FBCD208" w14:textId="12CC9C8F" w:rsidR="00774484" w:rsidRPr="004610CF" w:rsidRDefault="00774484" w:rsidP="004A71C6">
      <w:pPr>
        <w:pStyle w:val="EDFTitre3"/>
      </w:pPr>
      <w:bookmarkStart w:id="315" w:name="_Toc108113964"/>
      <w:bookmarkStart w:id="316" w:name="_Toc110436480"/>
      <w:r>
        <w:lastRenderedPageBreak/>
        <w:t>Formule d’indexation de la Prime de Coûts Variables</w:t>
      </w:r>
      <w:bookmarkEnd w:id="315"/>
      <w:bookmarkEnd w:id="316"/>
    </w:p>
    <w:p w14:paraId="4D72E7C4" w14:textId="1855E38D" w:rsidR="00774484" w:rsidRDefault="00774484" w:rsidP="000548E3">
      <w:pPr>
        <w:jc w:val="both"/>
        <w:rPr>
          <w:rFonts w:cs="Arial"/>
        </w:rPr>
      </w:pPr>
      <w:r>
        <w:rPr>
          <w:rFonts w:cs="Arial"/>
        </w:rPr>
        <w:t xml:space="preserve">La Prime de Coûts Variables ci-dessus est un prix valeur à date de référence. A partir de ce prix initial, le montant </w:t>
      </w:r>
      <w:r w:rsidR="00FF0E25">
        <w:rPr>
          <w:rFonts w:cs="Arial"/>
        </w:rPr>
        <w:t>de la Prime de coûts variables</w:t>
      </w:r>
      <w:r>
        <w:rPr>
          <w:rFonts w:cs="Arial"/>
        </w:rPr>
        <w:t xml:space="preserve"> est calculé tous les mois à partir de la formule suivante :</w:t>
      </w:r>
    </w:p>
    <w:p w14:paraId="4FE3C3F8" w14:textId="1836E197" w:rsidR="000E3D73" w:rsidRDefault="00A775B6" w:rsidP="000548E3">
      <w:pPr>
        <w:jc w:val="both"/>
        <w:rPr>
          <w:rFonts w:cs="Arial"/>
        </w:rPr>
      </w:pPr>
      <m:oMathPara>
        <m:oMath>
          <m:sSub>
            <m:sSubPr>
              <m:ctrlPr>
                <w:rPr>
                  <w:rFonts w:ascii="Cambria Math" w:hAnsi="Cambria Math" w:cs="Arial"/>
                  <w:i/>
                  <w:sz w:val="28"/>
                </w:rPr>
              </m:ctrlPr>
            </m:sSubPr>
            <m:e>
              <m:r>
                <w:rPr>
                  <w:rFonts w:ascii="Cambria Math" w:hAnsi="Cambria Math" w:cs="Arial"/>
                  <w:sz w:val="28"/>
                </w:rPr>
                <m:t>PCV</m:t>
              </m:r>
            </m:e>
            <m:sub>
              <m:r>
                <w:rPr>
                  <w:rFonts w:ascii="Cambria Math" w:hAnsi="Cambria Math" w:cs="Arial"/>
                  <w:sz w:val="28"/>
                </w:rPr>
                <m:t>nm</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PCV</m:t>
              </m:r>
            </m:e>
            <m:sub>
              <m:r>
                <w:rPr>
                  <w:rFonts w:ascii="Cambria Math" w:hAnsi="Cambria Math" w:cs="Arial"/>
                  <w:sz w:val="28"/>
                </w:rPr>
                <m:t>0</m:t>
              </m:r>
            </m:sub>
          </m:sSub>
          <m:r>
            <w:rPr>
              <w:rFonts w:ascii="Cambria Math" w:hAnsi="Cambria Math" w:cs="Arial"/>
              <w:sz w:val="28"/>
            </w:rPr>
            <m:t>*</m:t>
          </m:r>
          <m:d>
            <m:dPr>
              <m:ctrlPr>
                <w:rPr>
                  <w:rFonts w:ascii="Cambria Math" w:hAnsi="Cambria Math" w:cs="Arial"/>
                  <w:i/>
                  <w:sz w:val="28"/>
                </w:rPr>
              </m:ctrlPr>
            </m:dPr>
            <m:e>
              <m:r>
                <w:rPr>
                  <w:rFonts w:ascii="Cambria Math" w:hAnsi="Cambria Math" w:cs="Arial"/>
                  <w:sz w:val="28"/>
                  <w:highlight w:val="lightGray"/>
                </w:rPr>
                <m:t>XXX</m:t>
              </m:r>
              <m:r>
                <w:rPr>
                  <w:rFonts w:ascii="Cambria Math" w:hAnsi="Cambria Math" w:cs="Arial"/>
                  <w:sz w:val="28"/>
                </w:rPr>
                <m:t>+</m:t>
              </m:r>
              <m:r>
                <w:rPr>
                  <w:rFonts w:ascii="Cambria Math" w:hAnsi="Cambria Math" w:cs="Arial"/>
                  <w:sz w:val="28"/>
                  <w:highlight w:val="lightGray"/>
                </w:rPr>
                <m:t>XXX</m:t>
              </m:r>
              <m:r>
                <w:rPr>
                  <w:rFonts w:ascii="Cambria Math" w:hAnsi="Cambria Math" w:cs="Arial"/>
                  <w:sz w:val="28"/>
                </w:rPr>
                <m:t>*</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SAL</m:t>
                      </m:r>
                    </m:e>
                    <m:sub>
                      <m:r>
                        <w:rPr>
                          <w:rFonts w:ascii="Cambria Math" w:hAnsi="Cambria Math" w:cs="Arial"/>
                          <w:sz w:val="28"/>
                        </w:rPr>
                        <m:t>n</m:t>
                      </m:r>
                    </m:sub>
                  </m:sSub>
                </m:num>
                <m:den>
                  <m:sSub>
                    <m:sSubPr>
                      <m:ctrlPr>
                        <w:rPr>
                          <w:rFonts w:ascii="Cambria Math" w:hAnsi="Cambria Math" w:cs="Arial"/>
                          <w:i/>
                          <w:sz w:val="28"/>
                        </w:rPr>
                      </m:ctrlPr>
                    </m:sSubPr>
                    <m:e>
                      <m:r>
                        <w:rPr>
                          <w:rFonts w:ascii="Cambria Math" w:hAnsi="Cambria Math" w:cs="Arial"/>
                          <w:sz w:val="28"/>
                        </w:rPr>
                        <m:t>SAL</m:t>
                      </m:r>
                    </m:e>
                    <m:sub>
                      <m:r>
                        <w:rPr>
                          <w:rFonts w:ascii="Cambria Math" w:hAnsi="Cambria Math" w:cs="Arial"/>
                          <w:sz w:val="28"/>
                        </w:rPr>
                        <m:t>0</m:t>
                      </m:r>
                    </m:sub>
                  </m:sSub>
                </m:den>
              </m:f>
              <m:r>
                <w:rPr>
                  <w:rFonts w:ascii="Cambria Math" w:hAnsi="Cambria Math" w:cs="Arial"/>
                  <w:sz w:val="28"/>
                </w:rPr>
                <m:t>+</m:t>
              </m:r>
              <m:r>
                <w:rPr>
                  <w:rFonts w:ascii="Cambria Math" w:hAnsi="Cambria Math" w:cs="Arial"/>
                  <w:sz w:val="28"/>
                  <w:highlight w:val="lightGray"/>
                </w:rPr>
                <m:t>XXX</m:t>
              </m:r>
              <m:r>
                <w:rPr>
                  <w:rFonts w:ascii="Cambria Math" w:hAnsi="Cambria Math" w:cs="Arial"/>
                  <w:sz w:val="28"/>
                </w:rPr>
                <m:t>*</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IM</m:t>
                      </m:r>
                    </m:e>
                    <m:sub>
                      <m:r>
                        <w:rPr>
                          <w:rFonts w:ascii="Cambria Math" w:hAnsi="Cambria Math" w:cs="Arial"/>
                          <w:sz w:val="28"/>
                        </w:rPr>
                        <m:t>n</m:t>
                      </m:r>
                    </m:sub>
                  </m:sSub>
                </m:num>
                <m:den>
                  <m:sSub>
                    <m:sSubPr>
                      <m:ctrlPr>
                        <w:rPr>
                          <w:rFonts w:ascii="Cambria Math" w:hAnsi="Cambria Math" w:cs="Arial"/>
                          <w:i/>
                          <w:sz w:val="28"/>
                        </w:rPr>
                      </m:ctrlPr>
                    </m:sSubPr>
                    <m:e>
                      <m:r>
                        <w:rPr>
                          <w:rFonts w:ascii="Cambria Math" w:hAnsi="Cambria Math" w:cs="Arial"/>
                          <w:sz w:val="28"/>
                        </w:rPr>
                        <m:t>IM</m:t>
                      </m:r>
                    </m:e>
                    <m:sub>
                      <m:r>
                        <w:rPr>
                          <w:rFonts w:ascii="Cambria Math" w:hAnsi="Cambria Math" w:cs="Arial"/>
                          <w:sz w:val="28"/>
                        </w:rPr>
                        <m:t>0</m:t>
                      </m:r>
                    </m:sub>
                  </m:sSub>
                </m:den>
              </m:f>
            </m:e>
          </m:d>
        </m:oMath>
      </m:oMathPara>
    </w:p>
    <w:p w14:paraId="7163B854" w14:textId="77777777" w:rsidR="00774484" w:rsidRDefault="00774484" w:rsidP="00774484">
      <w:pPr>
        <w:jc w:val="both"/>
        <w:rPr>
          <w:rFonts w:cs="Arial"/>
        </w:rPr>
      </w:pPr>
      <w:r>
        <w:rPr>
          <w:rFonts w:cs="Arial"/>
        </w:rPr>
        <w:t>Dans lesquelles :</w:t>
      </w:r>
    </w:p>
    <w:tbl>
      <w:tblPr>
        <w:tblStyle w:val="Grilledutableau"/>
        <w:tblW w:w="5000" w:type="pct"/>
        <w:tblLook w:val="04A0" w:firstRow="1" w:lastRow="0" w:firstColumn="1" w:lastColumn="0" w:noHBand="0" w:noVBand="1"/>
      </w:tblPr>
      <w:tblGrid>
        <w:gridCol w:w="2000"/>
        <w:gridCol w:w="6602"/>
        <w:gridCol w:w="1592"/>
      </w:tblGrid>
      <w:tr w:rsidR="00774484" w14:paraId="36A8BE04" w14:textId="77777777" w:rsidTr="004A71C6">
        <w:tc>
          <w:tcPr>
            <w:tcW w:w="981" w:type="pct"/>
            <w:tcBorders>
              <w:top w:val="single" w:sz="4" w:space="0" w:color="auto"/>
              <w:left w:val="single" w:sz="4" w:space="0" w:color="auto"/>
              <w:bottom w:val="single" w:sz="4" w:space="0" w:color="auto"/>
              <w:right w:val="single" w:sz="4" w:space="0" w:color="auto"/>
            </w:tcBorders>
            <w:hideMark/>
          </w:tcPr>
          <w:p w14:paraId="19A35C97" w14:textId="77777777" w:rsidR="00774484" w:rsidRDefault="00774484" w:rsidP="00774484">
            <w:pPr>
              <w:widowControl w:val="0"/>
              <w:tabs>
                <w:tab w:val="left" w:pos="12333"/>
              </w:tabs>
              <w:autoSpaceDE w:val="0"/>
              <w:autoSpaceDN w:val="0"/>
              <w:adjustRightInd w:val="0"/>
              <w:spacing w:before="0" w:after="0"/>
              <w:jc w:val="both"/>
              <w:rPr>
                <w:b/>
              </w:rPr>
            </w:pPr>
            <w:r>
              <w:rPr>
                <w:b/>
              </w:rPr>
              <w:t>Sigle</w:t>
            </w:r>
          </w:p>
        </w:tc>
        <w:tc>
          <w:tcPr>
            <w:tcW w:w="3238" w:type="pct"/>
            <w:tcBorders>
              <w:top w:val="single" w:sz="4" w:space="0" w:color="auto"/>
              <w:left w:val="single" w:sz="4" w:space="0" w:color="auto"/>
              <w:bottom w:val="single" w:sz="4" w:space="0" w:color="auto"/>
              <w:right w:val="single" w:sz="4" w:space="0" w:color="auto"/>
            </w:tcBorders>
            <w:hideMark/>
          </w:tcPr>
          <w:p w14:paraId="2B23B9E4" w14:textId="77777777" w:rsidR="00774484" w:rsidRPr="00DB551D" w:rsidRDefault="00774484" w:rsidP="00774484">
            <w:pPr>
              <w:widowControl w:val="0"/>
              <w:tabs>
                <w:tab w:val="left" w:pos="12333"/>
              </w:tabs>
              <w:autoSpaceDE w:val="0"/>
              <w:autoSpaceDN w:val="0"/>
              <w:adjustRightInd w:val="0"/>
              <w:spacing w:before="0" w:after="0"/>
              <w:jc w:val="both"/>
              <w:rPr>
                <w:b/>
              </w:rPr>
            </w:pPr>
            <w:r w:rsidRPr="00DB551D">
              <w:rPr>
                <w:b/>
              </w:rPr>
              <w:t>Définition</w:t>
            </w:r>
          </w:p>
        </w:tc>
        <w:tc>
          <w:tcPr>
            <w:tcW w:w="781" w:type="pct"/>
            <w:tcBorders>
              <w:top w:val="single" w:sz="4" w:space="0" w:color="auto"/>
              <w:left w:val="single" w:sz="4" w:space="0" w:color="auto"/>
              <w:bottom w:val="single" w:sz="4" w:space="0" w:color="auto"/>
              <w:right w:val="single" w:sz="4" w:space="0" w:color="auto"/>
            </w:tcBorders>
            <w:hideMark/>
          </w:tcPr>
          <w:p w14:paraId="149F19AD" w14:textId="77777777" w:rsidR="00774484" w:rsidRDefault="00774484" w:rsidP="00774484">
            <w:pPr>
              <w:widowControl w:val="0"/>
              <w:tabs>
                <w:tab w:val="left" w:pos="12333"/>
              </w:tabs>
              <w:autoSpaceDE w:val="0"/>
              <w:autoSpaceDN w:val="0"/>
              <w:adjustRightInd w:val="0"/>
              <w:spacing w:before="0" w:after="0"/>
              <w:jc w:val="both"/>
              <w:rPr>
                <w:b/>
              </w:rPr>
            </w:pPr>
            <w:r>
              <w:rPr>
                <w:b/>
              </w:rPr>
              <w:t>Valeur</w:t>
            </w:r>
          </w:p>
        </w:tc>
      </w:tr>
      <w:tr w:rsidR="00774484" w14:paraId="3DC66A44" w14:textId="77777777" w:rsidTr="004A71C6">
        <w:tc>
          <w:tcPr>
            <w:tcW w:w="981" w:type="pct"/>
            <w:tcBorders>
              <w:top w:val="single" w:sz="4" w:space="0" w:color="auto"/>
              <w:left w:val="single" w:sz="4" w:space="0" w:color="auto"/>
              <w:bottom w:val="single" w:sz="4" w:space="0" w:color="auto"/>
              <w:right w:val="single" w:sz="4" w:space="0" w:color="auto"/>
            </w:tcBorders>
            <w:vAlign w:val="center"/>
            <w:hideMark/>
          </w:tcPr>
          <w:p w14:paraId="028E73D4" w14:textId="77777777" w:rsidR="00774484" w:rsidRDefault="00774484" w:rsidP="00774484">
            <w:pPr>
              <w:spacing w:before="0" w:after="0"/>
              <w:jc w:val="both"/>
              <w:rPr>
                <w:color w:val="000000" w:themeColor="text1"/>
              </w:rPr>
            </w:pPr>
            <w:r>
              <w:rPr>
                <w:color w:val="000000" w:themeColor="text1"/>
              </w:rPr>
              <w:t>n</w:t>
            </w:r>
          </w:p>
        </w:tc>
        <w:tc>
          <w:tcPr>
            <w:tcW w:w="3238" w:type="pct"/>
            <w:tcBorders>
              <w:top w:val="single" w:sz="4" w:space="0" w:color="auto"/>
              <w:left w:val="single" w:sz="4" w:space="0" w:color="auto"/>
              <w:bottom w:val="single" w:sz="4" w:space="0" w:color="auto"/>
              <w:right w:val="single" w:sz="4" w:space="0" w:color="auto"/>
            </w:tcBorders>
            <w:vAlign w:val="center"/>
            <w:hideMark/>
          </w:tcPr>
          <w:p w14:paraId="2DFE2D5C" w14:textId="77777777" w:rsidR="00774484" w:rsidRPr="00DB551D" w:rsidRDefault="00774484" w:rsidP="00774484">
            <w:pPr>
              <w:spacing w:before="0" w:after="0"/>
              <w:jc w:val="both"/>
              <w:rPr>
                <w:color w:val="000000" w:themeColor="text1"/>
              </w:rPr>
            </w:pPr>
            <w:r>
              <w:t>représente l’année civile (1</w:t>
            </w:r>
            <w:r w:rsidRPr="00D2537B">
              <w:rPr>
                <w:vertAlign w:val="superscript"/>
              </w:rPr>
              <w:t>er</w:t>
            </w:r>
            <w:r>
              <w:t xml:space="preserve"> janvier – 31 décembre)</w:t>
            </w:r>
          </w:p>
        </w:tc>
        <w:tc>
          <w:tcPr>
            <w:tcW w:w="781" w:type="pct"/>
            <w:tcBorders>
              <w:top w:val="single" w:sz="4" w:space="0" w:color="auto"/>
              <w:left w:val="single" w:sz="4" w:space="0" w:color="auto"/>
              <w:bottom w:val="single" w:sz="4" w:space="0" w:color="auto"/>
              <w:right w:val="single" w:sz="4" w:space="0" w:color="auto"/>
            </w:tcBorders>
          </w:tcPr>
          <w:p w14:paraId="0B1EF5BF" w14:textId="77777777" w:rsidR="00774484" w:rsidRDefault="00774484" w:rsidP="00774484">
            <w:pPr>
              <w:spacing w:before="0" w:after="0"/>
              <w:jc w:val="both"/>
            </w:pPr>
          </w:p>
        </w:tc>
      </w:tr>
      <w:tr w:rsidR="00774484" w14:paraId="3AF83C87" w14:textId="77777777" w:rsidTr="004A71C6">
        <w:tc>
          <w:tcPr>
            <w:tcW w:w="981" w:type="pct"/>
            <w:tcBorders>
              <w:top w:val="single" w:sz="4" w:space="0" w:color="auto"/>
              <w:left w:val="single" w:sz="4" w:space="0" w:color="auto"/>
              <w:bottom w:val="single" w:sz="4" w:space="0" w:color="auto"/>
              <w:right w:val="single" w:sz="4" w:space="0" w:color="auto"/>
            </w:tcBorders>
            <w:vAlign w:val="center"/>
            <w:hideMark/>
          </w:tcPr>
          <w:p w14:paraId="7FE79049" w14:textId="77777777" w:rsidR="00774484" w:rsidRDefault="00774484" w:rsidP="00774484">
            <w:pPr>
              <w:spacing w:before="0" w:after="0"/>
              <w:jc w:val="both"/>
            </w:pPr>
            <w:r>
              <w:t>m</w:t>
            </w:r>
          </w:p>
        </w:tc>
        <w:tc>
          <w:tcPr>
            <w:tcW w:w="3238" w:type="pct"/>
            <w:tcBorders>
              <w:top w:val="single" w:sz="4" w:space="0" w:color="auto"/>
              <w:left w:val="single" w:sz="4" w:space="0" w:color="auto"/>
              <w:bottom w:val="single" w:sz="4" w:space="0" w:color="auto"/>
              <w:right w:val="single" w:sz="4" w:space="0" w:color="auto"/>
            </w:tcBorders>
            <w:vAlign w:val="center"/>
            <w:hideMark/>
          </w:tcPr>
          <w:p w14:paraId="71973BB3" w14:textId="77777777" w:rsidR="00774484" w:rsidRDefault="00774484" w:rsidP="00774484">
            <w:pPr>
              <w:spacing w:before="0" w:after="0"/>
              <w:jc w:val="both"/>
            </w:pPr>
            <w:r>
              <w:t>représente le mois m de l’année n</w:t>
            </w:r>
          </w:p>
        </w:tc>
        <w:tc>
          <w:tcPr>
            <w:tcW w:w="781" w:type="pct"/>
            <w:tcBorders>
              <w:top w:val="single" w:sz="4" w:space="0" w:color="auto"/>
              <w:left w:val="single" w:sz="4" w:space="0" w:color="auto"/>
              <w:bottom w:val="single" w:sz="4" w:space="0" w:color="auto"/>
              <w:right w:val="single" w:sz="4" w:space="0" w:color="auto"/>
            </w:tcBorders>
          </w:tcPr>
          <w:p w14:paraId="51DA338B" w14:textId="77777777" w:rsidR="00774484" w:rsidRDefault="00774484" w:rsidP="00774484">
            <w:pPr>
              <w:spacing w:before="0" w:after="0"/>
              <w:jc w:val="both"/>
            </w:pPr>
          </w:p>
        </w:tc>
      </w:tr>
      <w:tr w:rsidR="00774484" w14:paraId="5FA2F027" w14:textId="77777777" w:rsidTr="004A71C6">
        <w:tc>
          <w:tcPr>
            <w:tcW w:w="981" w:type="pct"/>
            <w:tcBorders>
              <w:top w:val="single" w:sz="4" w:space="0" w:color="auto"/>
              <w:left w:val="single" w:sz="4" w:space="0" w:color="auto"/>
              <w:bottom w:val="single" w:sz="4" w:space="0" w:color="auto"/>
              <w:right w:val="single" w:sz="4" w:space="0" w:color="auto"/>
            </w:tcBorders>
            <w:vAlign w:val="center"/>
            <w:hideMark/>
          </w:tcPr>
          <w:p w14:paraId="6036E97F" w14:textId="58CA39B8" w:rsidR="00774484" w:rsidRDefault="00465151" w:rsidP="00247F5F">
            <w:pPr>
              <w:spacing w:before="0" w:after="0"/>
              <w:jc w:val="both"/>
            </w:pPr>
            <w:r>
              <w:t>PCV</w:t>
            </w:r>
          </w:p>
        </w:tc>
        <w:tc>
          <w:tcPr>
            <w:tcW w:w="3238" w:type="pct"/>
            <w:tcBorders>
              <w:top w:val="single" w:sz="4" w:space="0" w:color="auto"/>
              <w:left w:val="single" w:sz="4" w:space="0" w:color="auto"/>
              <w:bottom w:val="single" w:sz="4" w:space="0" w:color="auto"/>
              <w:right w:val="single" w:sz="4" w:space="0" w:color="auto"/>
            </w:tcBorders>
            <w:vAlign w:val="center"/>
            <w:hideMark/>
          </w:tcPr>
          <w:p w14:paraId="35A8A0E7" w14:textId="0E6F68A3" w:rsidR="00774484" w:rsidRDefault="00774484" w:rsidP="004610CF">
            <w:pPr>
              <w:spacing w:before="0" w:after="0"/>
              <w:jc w:val="both"/>
            </w:pPr>
            <w:r>
              <w:t>représente le prix initial de référence de la prime de coûts variables de l’Installation</w:t>
            </w:r>
          </w:p>
        </w:tc>
        <w:tc>
          <w:tcPr>
            <w:tcW w:w="781" w:type="pct"/>
            <w:tcBorders>
              <w:top w:val="single" w:sz="4" w:space="0" w:color="auto"/>
              <w:left w:val="single" w:sz="4" w:space="0" w:color="auto"/>
              <w:bottom w:val="single" w:sz="4" w:space="0" w:color="auto"/>
              <w:right w:val="single" w:sz="4" w:space="0" w:color="auto"/>
            </w:tcBorders>
            <w:hideMark/>
          </w:tcPr>
          <w:p w14:paraId="7EDC2C78" w14:textId="579EAC83" w:rsidR="00774484" w:rsidRPr="00923C3A" w:rsidRDefault="00774484" w:rsidP="004610CF">
            <w:pPr>
              <w:spacing w:before="0" w:after="0"/>
              <w:jc w:val="both"/>
            </w:pPr>
            <w:r w:rsidRPr="0040681E">
              <w:rPr>
                <w:rFonts w:cs="Arial"/>
                <w:highlight w:val="lightGray"/>
              </w:rPr>
              <w:t>XX</w:t>
            </w:r>
          </w:p>
        </w:tc>
      </w:tr>
      <w:tr w:rsidR="00774484" w14:paraId="24CA30D0" w14:textId="77777777" w:rsidTr="004A71C6">
        <w:tc>
          <w:tcPr>
            <w:tcW w:w="981" w:type="pct"/>
            <w:tcBorders>
              <w:top w:val="single" w:sz="4" w:space="0" w:color="auto"/>
              <w:left w:val="single" w:sz="4" w:space="0" w:color="auto"/>
              <w:bottom w:val="single" w:sz="4" w:space="0" w:color="auto"/>
              <w:right w:val="single" w:sz="4" w:space="0" w:color="auto"/>
            </w:tcBorders>
            <w:vAlign w:val="center"/>
            <w:hideMark/>
          </w:tcPr>
          <w:p w14:paraId="08E3EC0D" w14:textId="049A12A7" w:rsidR="00774484" w:rsidRDefault="00465151" w:rsidP="00247F5F">
            <w:pPr>
              <w:spacing w:before="0" w:after="0"/>
              <w:jc w:val="both"/>
            </w:pPr>
            <w:proofErr w:type="spellStart"/>
            <w:r>
              <w:t>PCV</w:t>
            </w:r>
            <w:r>
              <w:rPr>
                <w:vertAlign w:val="subscript"/>
              </w:rPr>
              <w:t>nm</w:t>
            </w:r>
            <w:proofErr w:type="spellEnd"/>
          </w:p>
        </w:tc>
        <w:tc>
          <w:tcPr>
            <w:tcW w:w="3238" w:type="pct"/>
            <w:tcBorders>
              <w:top w:val="single" w:sz="4" w:space="0" w:color="auto"/>
              <w:left w:val="single" w:sz="4" w:space="0" w:color="auto"/>
              <w:bottom w:val="single" w:sz="4" w:space="0" w:color="auto"/>
              <w:right w:val="single" w:sz="4" w:space="0" w:color="auto"/>
            </w:tcBorders>
            <w:vAlign w:val="center"/>
            <w:hideMark/>
          </w:tcPr>
          <w:p w14:paraId="2AE36712" w14:textId="77777777" w:rsidR="00774484" w:rsidRDefault="00774484" w:rsidP="00774484">
            <w:pPr>
              <w:spacing w:before="0" w:after="0"/>
              <w:jc w:val="both"/>
            </w:pPr>
            <w:r>
              <w:t>représente le prix tel que défini ci-dessus, pour le mois m de l’année n</w:t>
            </w:r>
            <w:r w:rsidDel="001E063E">
              <w:t xml:space="preserve"> </w:t>
            </w:r>
          </w:p>
        </w:tc>
        <w:tc>
          <w:tcPr>
            <w:tcW w:w="781" w:type="pct"/>
            <w:tcBorders>
              <w:top w:val="single" w:sz="4" w:space="0" w:color="auto"/>
              <w:left w:val="single" w:sz="4" w:space="0" w:color="auto"/>
              <w:bottom w:val="single" w:sz="4" w:space="0" w:color="auto"/>
              <w:right w:val="single" w:sz="4" w:space="0" w:color="auto"/>
            </w:tcBorders>
          </w:tcPr>
          <w:p w14:paraId="70F5E7CA" w14:textId="77777777" w:rsidR="00774484" w:rsidRPr="00923C3A" w:rsidRDefault="00774484" w:rsidP="00774484">
            <w:pPr>
              <w:spacing w:before="0" w:after="0"/>
              <w:jc w:val="both"/>
            </w:pPr>
          </w:p>
        </w:tc>
      </w:tr>
      <w:tr w:rsidR="000E3D73" w14:paraId="0B33397E" w14:textId="77777777" w:rsidTr="004A71C6">
        <w:tc>
          <w:tcPr>
            <w:tcW w:w="981" w:type="pct"/>
            <w:tcBorders>
              <w:top w:val="nil"/>
              <w:left w:val="single" w:sz="4" w:space="0" w:color="auto"/>
              <w:bottom w:val="single" w:sz="4" w:space="0" w:color="auto"/>
              <w:right w:val="single" w:sz="4" w:space="0" w:color="auto"/>
            </w:tcBorders>
            <w:vAlign w:val="center"/>
            <w:hideMark/>
          </w:tcPr>
          <w:p w14:paraId="7BBF5BEC" w14:textId="505AD694" w:rsidR="000E3D73" w:rsidRDefault="000E3D73" w:rsidP="00774484">
            <w:pPr>
              <w:spacing w:before="0" w:after="0"/>
              <w:jc w:val="both"/>
            </w:pPr>
            <w:proofErr w:type="spellStart"/>
            <w:r>
              <w:t>SAL</w:t>
            </w:r>
            <w:r>
              <w:rPr>
                <w:vertAlign w:val="subscript"/>
              </w:rPr>
              <w:t>n</w:t>
            </w:r>
            <w:proofErr w:type="spellEnd"/>
          </w:p>
        </w:tc>
        <w:tc>
          <w:tcPr>
            <w:tcW w:w="3238" w:type="pct"/>
            <w:tcBorders>
              <w:top w:val="nil"/>
              <w:left w:val="single" w:sz="4" w:space="0" w:color="auto"/>
              <w:bottom w:val="single" w:sz="4" w:space="0" w:color="auto"/>
              <w:right w:val="single" w:sz="4" w:space="0" w:color="auto"/>
            </w:tcBorders>
            <w:vAlign w:val="center"/>
            <w:hideMark/>
          </w:tcPr>
          <w:p w14:paraId="77366E0F" w14:textId="7DE2BD4F" w:rsidR="000E3D73" w:rsidRDefault="000E3D73" w:rsidP="00774484">
            <w:pPr>
              <w:spacing w:before="0" w:after="0"/>
              <w:jc w:val="both"/>
            </w:pPr>
            <w:r w:rsidRPr="00DA2F93">
              <w:rPr>
                <w:color w:val="000000" w:themeColor="text1"/>
              </w:rPr>
              <w:t xml:space="preserve">représente la dernière valeur définitive connue de l’indice </w:t>
            </w:r>
            <w:r>
              <w:rPr>
                <w:color w:val="000000" w:themeColor="text1"/>
              </w:rPr>
              <w:t>SAL</w:t>
            </w:r>
            <w:r w:rsidRPr="00DA2F93">
              <w:rPr>
                <w:color w:val="000000" w:themeColor="text1"/>
              </w:rPr>
              <w:t xml:space="preserve"> au 1</w:t>
            </w:r>
            <w:r w:rsidRPr="00DA2F93">
              <w:rPr>
                <w:color w:val="000000" w:themeColor="text1"/>
                <w:vertAlign w:val="superscript"/>
              </w:rPr>
              <w:t>er</w:t>
            </w:r>
            <w:r w:rsidRPr="00DA2F93">
              <w:rPr>
                <w:color w:val="000000" w:themeColor="text1"/>
              </w:rPr>
              <w:t xml:space="preserve"> janvier de l’année n</w:t>
            </w:r>
          </w:p>
        </w:tc>
        <w:tc>
          <w:tcPr>
            <w:tcW w:w="781" w:type="pct"/>
            <w:tcBorders>
              <w:top w:val="nil"/>
              <w:left w:val="single" w:sz="4" w:space="0" w:color="auto"/>
              <w:bottom w:val="single" w:sz="4" w:space="0" w:color="auto"/>
              <w:right w:val="single" w:sz="4" w:space="0" w:color="auto"/>
            </w:tcBorders>
          </w:tcPr>
          <w:p w14:paraId="7E292311" w14:textId="07EE4A17" w:rsidR="000E3D73" w:rsidRPr="00923C3A" w:rsidRDefault="000E3D73" w:rsidP="00774484">
            <w:pPr>
              <w:spacing w:before="0" w:after="0"/>
              <w:jc w:val="both"/>
            </w:pPr>
          </w:p>
        </w:tc>
      </w:tr>
      <w:tr w:rsidR="000E3D73" w14:paraId="32479B63" w14:textId="77777777" w:rsidTr="004A71C6">
        <w:tc>
          <w:tcPr>
            <w:tcW w:w="981" w:type="pct"/>
            <w:tcBorders>
              <w:top w:val="single" w:sz="4" w:space="0" w:color="auto"/>
              <w:left w:val="single" w:sz="4" w:space="0" w:color="auto"/>
              <w:bottom w:val="single" w:sz="4" w:space="0" w:color="auto"/>
              <w:right w:val="single" w:sz="4" w:space="0" w:color="auto"/>
            </w:tcBorders>
            <w:vAlign w:val="center"/>
            <w:hideMark/>
          </w:tcPr>
          <w:p w14:paraId="4731430E" w14:textId="7E857482" w:rsidR="000E3D73" w:rsidRDefault="000E3D73" w:rsidP="00774484">
            <w:pPr>
              <w:spacing w:before="0" w:after="0"/>
              <w:jc w:val="both"/>
            </w:pPr>
            <w:r>
              <w:t>SAL</w:t>
            </w:r>
            <w:r>
              <w:rPr>
                <w:vertAlign w:val="subscript"/>
              </w:rPr>
              <w:t>0</w:t>
            </w:r>
          </w:p>
        </w:tc>
        <w:tc>
          <w:tcPr>
            <w:tcW w:w="3238" w:type="pct"/>
            <w:tcBorders>
              <w:top w:val="single" w:sz="4" w:space="0" w:color="auto"/>
              <w:left w:val="single" w:sz="4" w:space="0" w:color="auto"/>
              <w:bottom w:val="single" w:sz="4" w:space="0" w:color="auto"/>
              <w:right w:val="single" w:sz="4" w:space="0" w:color="auto"/>
            </w:tcBorders>
            <w:vAlign w:val="center"/>
            <w:hideMark/>
          </w:tcPr>
          <w:p w14:paraId="47E65756" w14:textId="32A084D0" w:rsidR="000E3D73" w:rsidRDefault="000E3D73" w:rsidP="00774484">
            <w:pPr>
              <w:spacing w:before="0" w:after="0"/>
              <w:jc w:val="both"/>
            </w:pPr>
            <w:r w:rsidRPr="00DA2F93">
              <w:rPr>
                <w:color w:val="000000" w:themeColor="text1"/>
              </w:rPr>
              <w:t xml:space="preserve">représente la valeur de l’indice </w:t>
            </w:r>
            <w:r>
              <w:rPr>
                <w:color w:val="000000" w:themeColor="text1"/>
              </w:rPr>
              <w:t>SAL</w:t>
            </w:r>
            <w:r w:rsidRPr="00DA2F93">
              <w:rPr>
                <w:color w:val="000000" w:themeColor="text1"/>
              </w:rPr>
              <w:t xml:space="preserve"> à la Date de référence</w:t>
            </w:r>
          </w:p>
        </w:tc>
        <w:tc>
          <w:tcPr>
            <w:tcW w:w="781" w:type="pct"/>
            <w:tcBorders>
              <w:top w:val="single" w:sz="4" w:space="0" w:color="auto"/>
              <w:left w:val="single" w:sz="4" w:space="0" w:color="auto"/>
              <w:bottom w:val="single" w:sz="4" w:space="0" w:color="auto"/>
              <w:right w:val="single" w:sz="4" w:space="0" w:color="auto"/>
            </w:tcBorders>
          </w:tcPr>
          <w:p w14:paraId="6AB1639E" w14:textId="425D7600" w:rsidR="000E3D73" w:rsidRPr="00493567" w:rsidRDefault="000E3D73" w:rsidP="00774484">
            <w:pPr>
              <w:spacing w:before="0" w:after="0"/>
              <w:jc w:val="both"/>
            </w:pPr>
            <w:r w:rsidRPr="0040681E">
              <w:rPr>
                <w:color w:val="000000" w:themeColor="text1"/>
              </w:rPr>
              <w:t>XXX</w:t>
            </w:r>
          </w:p>
        </w:tc>
      </w:tr>
      <w:tr w:rsidR="000E3D73" w14:paraId="21043A6B" w14:textId="77777777" w:rsidTr="004A71C6">
        <w:tc>
          <w:tcPr>
            <w:tcW w:w="981" w:type="pct"/>
            <w:tcBorders>
              <w:top w:val="single" w:sz="4" w:space="0" w:color="auto"/>
              <w:left w:val="single" w:sz="4" w:space="0" w:color="auto"/>
              <w:bottom w:val="single" w:sz="4" w:space="0" w:color="auto"/>
              <w:right w:val="single" w:sz="4" w:space="0" w:color="auto"/>
            </w:tcBorders>
            <w:vAlign w:val="center"/>
            <w:hideMark/>
          </w:tcPr>
          <w:p w14:paraId="0020E987" w14:textId="5313DE0D" w:rsidR="000E3D73" w:rsidRDefault="000E3D73">
            <w:pPr>
              <w:spacing w:before="0" w:after="0"/>
              <w:jc w:val="both"/>
            </w:pPr>
            <w:proofErr w:type="spellStart"/>
            <w:r>
              <w:t>IM</w:t>
            </w:r>
            <w:r>
              <w:rPr>
                <w:vertAlign w:val="subscript"/>
              </w:rPr>
              <w:t>n</w:t>
            </w:r>
            <w:proofErr w:type="spellEnd"/>
          </w:p>
        </w:tc>
        <w:tc>
          <w:tcPr>
            <w:tcW w:w="3238" w:type="pct"/>
            <w:tcBorders>
              <w:top w:val="single" w:sz="4" w:space="0" w:color="auto"/>
              <w:left w:val="single" w:sz="4" w:space="0" w:color="auto"/>
              <w:bottom w:val="single" w:sz="4" w:space="0" w:color="auto"/>
              <w:right w:val="single" w:sz="4" w:space="0" w:color="auto"/>
            </w:tcBorders>
            <w:vAlign w:val="center"/>
            <w:hideMark/>
          </w:tcPr>
          <w:p w14:paraId="09AB9B3D" w14:textId="4080389A" w:rsidR="000E3D73" w:rsidRPr="00F528B4" w:rsidRDefault="000E3D73" w:rsidP="00774484">
            <w:pPr>
              <w:spacing w:before="0" w:after="0"/>
              <w:jc w:val="both"/>
            </w:pPr>
            <w:r w:rsidRPr="00DA2F93">
              <w:rPr>
                <w:color w:val="000000" w:themeColor="text1"/>
              </w:rPr>
              <w:t xml:space="preserve">représente la dernière valeur définitive connue de l’indice </w:t>
            </w:r>
            <w:r>
              <w:rPr>
                <w:color w:val="000000" w:themeColor="text1"/>
              </w:rPr>
              <w:t>IM</w:t>
            </w:r>
            <w:r w:rsidRPr="00DA2F93">
              <w:rPr>
                <w:color w:val="000000" w:themeColor="text1"/>
              </w:rPr>
              <w:t xml:space="preserve"> au 1</w:t>
            </w:r>
            <w:r w:rsidRPr="00DA2F93">
              <w:rPr>
                <w:color w:val="000000" w:themeColor="text1"/>
                <w:vertAlign w:val="superscript"/>
              </w:rPr>
              <w:t>er</w:t>
            </w:r>
            <w:r w:rsidRPr="00DA2F93">
              <w:rPr>
                <w:color w:val="000000" w:themeColor="text1"/>
              </w:rPr>
              <w:t xml:space="preserve"> janvier de l’année n</w:t>
            </w:r>
          </w:p>
        </w:tc>
        <w:tc>
          <w:tcPr>
            <w:tcW w:w="781" w:type="pct"/>
            <w:tcBorders>
              <w:top w:val="single" w:sz="4" w:space="0" w:color="auto"/>
              <w:left w:val="single" w:sz="4" w:space="0" w:color="auto"/>
              <w:bottom w:val="single" w:sz="4" w:space="0" w:color="auto"/>
              <w:right w:val="single" w:sz="4" w:space="0" w:color="auto"/>
            </w:tcBorders>
            <w:hideMark/>
          </w:tcPr>
          <w:p w14:paraId="176F39AC" w14:textId="2C6D92D1" w:rsidR="000E3D73" w:rsidRPr="00493567" w:rsidRDefault="000E3D73" w:rsidP="00774484">
            <w:pPr>
              <w:spacing w:before="0" w:after="0"/>
              <w:jc w:val="both"/>
            </w:pPr>
          </w:p>
        </w:tc>
      </w:tr>
      <w:tr w:rsidR="000E3D73" w14:paraId="63E8AE58" w14:textId="77777777" w:rsidTr="004A71C6">
        <w:tc>
          <w:tcPr>
            <w:tcW w:w="981" w:type="pct"/>
            <w:tcBorders>
              <w:top w:val="single" w:sz="4" w:space="0" w:color="auto"/>
              <w:left w:val="single" w:sz="4" w:space="0" w:color="auto"/>
              <w:bottom w:val="single" w:sz="4" w:space="0" w:color="auto"/>
              <w:right w:val="single" w:sz="4" w:space="0" w:color="auto"/>
            </w:tcBorders>
            <w:vAlign w:val="center"/>
            <w:hideMark/>
          </w:tcPr>
          <w:p w14:paraId="3A41D547" w14:textId="63361882" w:rsidR="000E3D73" w:rsidRDefault="000E3D73" w:rsidP="00774484">
            <w:pPr>
              <w:spacing w:before="0" w:after="0"/>
              <w:jc w:val="both"/>
            </w:pPr>
            <w:r>
              <w:t>IM</w:t>
            </w:r>
            <w:r>
              <w:rPr>
                <w:vertAlign w:val="subscript"/>
              </w:rPr>
              <w:t>0</w:t>
            </w:r>
          </w:p>
        </w:tc>
        <w:tc>
          <w:tcPr>
            <w:tcW w:w="3238" w:type="pct"/>
            <w:tcBorders>
              <w:top w:val="single" w:sz="4" w:space="0" w:color="auto"/>
              <w:left w:val="single" w:sz="4" w:space="0" w:color="auto"/>
              <w:bottom w:val="single" w:sz="4" w:space="0" w:color="auto"/>
              <w:right w:val="single" w:sz="4" w:space="0" w:color="auto"/>
            </w:tcBorders>
            <w:vAlign w:val="center"/>
            <w:hideMark/>
          </w:tcPr>
          <w:p w14:paraId="131B3608" w14:textId="2D571AEE" w:rsidR="000E3D73" w:rsidRPr="00F528B4" w:rsidRDefault="000E3D73" w:rsidP="00774484">
            <w:pPr>
              <w:jc w:val="both"/>
            </w:pPr>
            <w:r w:rsidRPr="00DA2F93">
              <w:rPr>
                <w:color w:val="000000" w:themeColor="text1"/>
              </w:rPr>
              <w:t xml:space="preserve">représente la valeur de l’indice </w:t>
            </w:r>
            <w:r>
              <w:rPr>
                <w:color w:val="000000" w:themeColor="text1"/>
              </w:rPr>
              <w:t>IM</w:t>
            </w:r>
            <w:r w:rsidRPr="00DA2F93">
              <w:rPr>
                <w:color w:val="000000" w:themeColor="text1"/>
              </w:rPr>
              <w:t xml:space="preserve"> à la Date de référence</w:t>
            </w:r>
          </w:p>
        </w:tc>
        <w:tc>
          <w:tcPr>
            <w:tcW w:w="781" w:type="pct"/>
            <w:tcBorders>
              <w:top w:val="single" w:sz="4" w:space="0" w:color="auto"/>
              <w:left w:val="single" w:sz="4" w:space="0" w:color="auto"/>
              <w:bottom w:val="single" w:sz="4" w:space="0" w:color="auto"/>
              <w:right w:val="single" w:sz="4" w:space="0" w:color="auto"/>
            </w:tcBorders>
          </w:tcPr>
          <w:p w14:paraId="15F49AF0" w14:textId="5417F2EB" w:rsidR="000E3D73" w:rsidRPr="00493567" w:rsidRDefault="000E3D73" w:rsidP="00774484">
            <w:pPr>
              <w:spacing w:before="0" w:after="0"/>
              <w:jc w:val="both"/>
            </w:pPr>
            <w:r w:rsidRPr="0040681E">
              <w:rPr>
                <w:color w:val="000000" w:themeColor="text1"/>
              </w:rPr>
              <w:t>XXX</w:t>
            </w:r>
          </w:p>
        </w:tc>
      </w:tr>
    </w:tbl>
    <w:p w14:paraId="517DB2A6" w14:textId="77777777" w:rsidR="00774484" w:rsidRDefault="00774484" w:rsidP="00774484">
      <w:pPr>
        <w:jc w:val="both"/>
        <w:rPr>
          <w:color w:val="000000" w:themeColor="text1"/>
        </w:rPr>
      </w:pPr>
    </w:p>
    <w:p w14:paraId="04C46E07" w14:textId="77777777" w:rsidR="00774484" w:rsidRDefault="00774484">
      <w:pPr>
        <w:jc w:val="both"/>
        <w:rPr>
          <w:color w:val="000000" w:themeColor="text1"/>
        </w:rPr>
      </w:pPr>
      <w:r>
        <w:rPr>
          <w:color w:val="000000" w:themeColor="text1"/>
        </w:rPr>
        <w:t xml:space="preserve">Au cas où l’un des indices retenu pour le système d’indexation de l’année n serait supérieur de plus de 4% à sa valeur de l’année n-1, l’indice retenu l’année n serait écrêté à 104% de sa valeur en n-1. </w:t>
      </w:r>
    </w:p>
    <w:p w14:paraId="7EBDC6B9" w14:textId="01B0DEED" w:rsidR="00774484" w:rsidRDefault="00774484" w:rsidP="00AE02DF">
      <w:pPr>
        <w:spacing w:before="0" w:after="0"/>
        <w:jc w:val="both"/>
        <w:rPr>
          <w:color w:val="000000" w:themeColor="text1"/>
        </w:rPr>
      </w:pPr>
      <w:r>
        <w:rPr>
          <w:color w:val="000000" w:themeColor="text1"/>
        </w:rPr>
        <w:t>Si, dans les mêmes conditions, il était constaté une variation à la hausse ou à la baisse de l’un des indices supérieure à 6% entre les années n-1 et n, une Partie pourra demander à l’autre Partie une rencontre pour choisir une formule d'indexation mieux adaptée en application d</w:t>
      </w:r>
      <w:r>
        <w:rPr>
          <w:rFonts w:cs="Arial"/>
          <w:iCs/>
        </w:rPr>
        <w:t>e l’article</w:t>
      </w:r>
      <w:r>
        <w:t xml:space="preserve"> </w:t>
      </w:r>
      <w:r>
        <w:fldChar w:fldCharType="begin"/>
      </w:r>
      <w:r>
        <w:instrText xml:space="preserve"> REF _Ref378338494 \r \h </w:instrText>
      </w:r>
      <w:r w:rsidR="00E46461">
        <w:instrText xml:space="preserve"> \* MERGEFORMAT </w:instrText>
      </w:r>
      <w:r>
        <w:fldChar w:fldCharType="separate"/>
      </w:r>
      <w:r w:rsidR="0042414D">
        <w:t>25</w:t>
      </w:r>
      <w:r>
        <w:fldChar w:fldCharType="end"/>
      </w:r>
      <w:r>
        <w:t xml:space="preserve"> </w:t>
      </w:r>
      <w:r>
        <w:fldChar w:fldCharType="begin"/>
      </w:r>
      <w:r>
        <w:instrText xml:space="preserve"> REF _Ref378338494 \h </w:instrText>
      </w:r>
      <w:r w:rsidR="00E46461">
        <w:instrText xml:space="preserve"> \* MERGEFORMAT </w:instrText>
      </w:r>
      <w:r>
        <w:fldChar w:fldCharType="separate"/>
      </w:r>
      <w:r w:rsidR="0042414D" w:rsidRPr="00DA2F93">
        <w:t>Clause de sauvegarde</w:t>
      </w:r>
      <w:r>
        <w:fldChar w:fldCharType="end"/>
      </w:r>
      <w:r>
        <w:rPr>
          <w:color w:val="000000" w:themeColor="text1"/>
        </w:rPr>
        <w:t>.</w:t>
      </w:r>
    </w:p>
    <w:p w14:paraId="4BAC62A4" w14:textId="77777777" w:rsidR="00774484" w:rsidRDefault="00774484" w:rsidP="00774484">
      <w:pPr>
        <w:spacing w:before="0" w:after="0"/>
        <w:rPr>
          <w:color w:val="000000" w:themeColor="text1"/>
        </w:rPr>
      </w:pPr>
    </w:p>
    <w:p w14:paraId="156FBBFA" w14:textId="7101AECC" w:rsidR="00774484" w:rsidRPr="00C90063" w:rsidRDefault="00774484" w:rsidP="00774484">
      <w:pPr>
        <w:pStyle w:val="EDFTitre3"/>
        <w:widowControl w:val="0"/>
        <w:numPr>
          <w:ilvl w:val="2"/>
          <w:numId w:val="25"/>
        </w:numPr>
        <w:autoSpaceDE w:val="0"/>
        <w:autoSpaceDN w:val="0"/>
        <w:adjustRightInd w:val="0"/>
        <w:ind w:right="55"/>
        <w:jc w:val="both"/>
        <w:rPr>
          <w:color w:val="808080" w:themeColor="background1" w:themeShade="80"/>
        </w:rPr>
      </w:pPr>
      <w:bookmarkStart w:id="317" w:name="_Toc398661582"/>
      <w:bookmarkStart w:id="318" w:name="_Toc405543381"/>
      <w:bookmarkStart w:id="319" w:name="_Toc480287881"/>
      <w:bookmarkStart w:id="320" w:name="_Toc108113965"/>
      <w:bookmarkStart w:id="321" w:name="_Toc110436481"/>
      <w:r w:rsidRPr="00C90063">
        <w:rPr>
          <w:color w:val="808080" w:themeColor="background1" w:themeShade="80"/>
        </w:rPr>
        <w:t>Modification des indices utilisés pour l’indexation d</w:t>
      </w:r>
      <w:bookmarkEnd w:id="317"/>
      <w:bookmarkEnd w:id="318"/>
      <w:bookmarkEnd w:id="319"/>
      <w:r>
        <w:rPr>
          <w:color w:val="808080" w:themeColor="background1" w:themeShade="80"/>
        </w:rPr>
        <w:t>e la Prime de Coûts Variables</w:t>
      </w:r>
      <w:bookmarkEnd w:id="320"/>
      <w:bookmarkEnd w:id="321"/>
    </w:p>
    <w:p w14:paraId="7A8B188B" w14:textId="1CCAD95C" w:rsidR="00774484" w:rsidRDefault="00774484" w:rsidP="00774484">
      <w:pPr>
        <w:jc w:val="both"/>
        <w:rPr>
          <w:rFonts w:cs="Arial"/>
        </w:rPr>
      </w:pPr>
      <w:r>
        <w:rPr>
          <w:rFonts w:cs="Arial"/>
        </w:rPr>
        <w:t xml:space="preserve">Si un ou plusieurs des indices retenus dans les formules ci-dessus </w:t>
      </w:r>
      <w:proofErr w:type="spellStart"/>
      <w:r>
        <w:rPr>
          <w:rFonts w:cs="Arial"/>
        </w:rPr>
        <w:t>venai</w:t>
      </w:r>
      <w:proofErr w:type="spellEnd"/>
      <w:r>
        <w:rPr>
          <w:rFonts w:cs="Arial"/>
        </w:rPr>
        <w:t xml:space="preserve">(en)t à disparaître ou ne </w:t>
      </w:r>
      <w:proofErr w:type="spellStart"/>
      <w:r>
        <w:rPr>
          <w:rFonts w:cs="Arial"/>
        </w:rPr>
        <w:t>pouvai</w:t>
      </w:r>
      <w:proofErr w:type="spellEnd"/>
      <w:r>
        <w:rPr>
          <w:rFonts w:cs="Arial"/>
        </w:rPr>
        <w:t>(en)t plus être calculé(s), celui-ci ou ceux-ci serai(en)t remplacé(s) de plein droit par l’indice ou les indices qui lui/leur serai(en)t substitué(s) légalement. A défaut d’indice de substitution légal, les Parties se rencontreraient pour choisir d'un commun accord un ou plusieurs nouveau(x) indice(s) le(s) plus proche(s) de l’indice ou des indices devenus inutilisables.</w:t>
      </w:r>
    </w:p>
    <w:p w14:paraId="45398B93" w14:textId="75829A1D" w:rsidR="00774484" w:rsidRPr="00C31ACA" w:rsidRDefault="00774484" w:rsidP="00774484">
      <w:pPr>
        <w:jc w:val="both"/>
        <w:rPr>
          <w:rFonts w:cs="Arial"/>
        </w:rPr>
      </w:pPr>
      <w:r>
        <w:t xml:space="preserve">En cas de changement des indices, </w:t>
      </w:r>
      <w:r>
        <w:rPr>
          <w:rFonts w:cs="Arial"/>
        </w:rPr>
        <w:t xml:space="preserve">le présent </w:t>
      </w:r>
      <w:r w:rsidR="003514A6">
        <w:rPr>
          <w:rFonts w:cs="Arial"/>
        </w:rPr>
        <w:t xml:space="preserve">Contrat </w:t>
      </w:r>
      <w:r>
        <w:rPr>
          <w:rFonts w:cs="Arial"/>
        </w:rPr>
        <w:t>devra être modifié en conséquence.</w:t>
      </w:r>
    </w:p>
    <w:p w14:paraId="02383FA7" w14:textId="77777777" w:rsidR="007B4F2B" w:rsidRPr="00DA2F93" w:rsidRDefault="007B4F2B" w:rsidP="000548E3">
      <w:pPr>
        <w:widowControl w:val="0"/>
        <w:autoSpaceDE w:val="0"/>
        <w:autoSpaceDN w:val="0"/>
        <w:adjustRightInd w:val="0"/>
        <w:ind w:right="3495"/>
        <w:jc w:val="both"/>
      </w:pPr>
    </w:p>
    <w:p w14:paraId="42EE8F0F" w14:textId="77777777" w:rsidR="001D0B10" w:rsidRPr="00DA2F93" w:rsidRDefault="001D0B10" w:rsidP="001D0B10">
      <w:pPr>
        <w:pStyle w:val="EDFTitre1"/>
        <w:jc w:val="both"/>
      </w:pPr>
      <w:bookmarkStart w:id="322" w:name="_Toc394668280"/>
      <w:bookmarkStart w:id="323" w:name="_Toc108113966"/>
      <w:bookmarkStart w:id="324" w:name="_Toc110436482"/>
      <w:r w:rsidRPr="00DA2F93">
        <w:t>Déplacement des arrêts programmés</w:t>
      </w:r>
      <w:bookmarkEnd w:id="322"/>
      <w:bookmarkEnd w:id="323"/>
      <w:bookmarkEnd w:id="324"/>
    </w:p>
    <w:p w14:paraId="54F2FE6E" w14:textId="77777777" w:rsidR="001D0B10" w:rsidRPr="00DA2F93" w:rsidRDefault="001D0B10" w:rsidP="001D0B10">
      <w:pPr>
        <w:jc w:val="both"/>
      </w:pPr>
      <w:r w:rsidRPr="00DA2F93">
        <w:t>Le planning annuel de disponibilité se décline mensuellement. Il peut faire l’objet de réajustement</w:t>
      </w:r>
      <w:r w:rsidR="006270E3" w:rsidRPr="00DA2F93">
        <w:t>s</w:t>
      </w:r>
      <w:r w:rsidRPr="00DA2F93">
        <w:t xml:space="preserve"> au cours de l’année à la demande de l’une des Parties et après accord commun.</w:t>
      </w:r>
    </w:p>
    <w:p w14:paraId="0917937D" w14:textId="77777777" w:rsidR="001D0B10" w:rsidRDefault="001D0B10" w:rsidP="001D0B10">
      <w:pPr>
        <w:jc w:val="both"/>
        <w:rPr>
          <w:color w:val="000000"/>
          <w:szCs w:val="20"/>
        </w:rPr>
      </w:pPr>
      <w:r w:rsidRPr="00DA2F93">
        <w:t xml:space="preserve">Cette modification, lorsqu’elle est décidée plus de 30 jours calendaires </w:t>
      </w:r>
      <w:r w:rsidR="00F34989" w:rsidRPr="00DA2F93">
        <w:t>avant le début de l’arrêt programmé</w:t>
      </w:r>
      <w:r w:rsidRPr="00DA2F93">
        <w:t xml:space="preserve"> et fait l’objet d’un accord commun, s’effectue </w:t>
      </w:r>
      <w:r w:rsidRPr="00DA2F93">
        <w:rPr>
          <w:color w:val="000000"/>
          <w:szCs w:val="20"/>
        </w:rPr>
        <w:t xml:space="preserve">sans restriction ni pénalité d'aucune sorte autre que </w:t>
      </w:r>
      <w:r w:rsidR="00994F3A" w:rsidRPr="00DA2F93">
        <w:rPr>
          <w:color w:val="000000"/>
          <w:szCs w:val="20"/>
        </w:rPr>
        <w:t>l’application</w:t>
      </w:r>
      <w:r w:rsidRPr="00DA2F93">
        <w:rPr>
          <w:color w:val="000000"/>
          <w:szCs w:val="20"/>
        </w:rPr>
        <w:t xml:space="preserve"> du </w:t>
      </w:r>
      <w:proofErr w:type="spellStart"/>
      <w:r w:rsidR="00BC2BEE" w:rsidRPr="00DA2F93">
        <w:rPr>
          <w:color w:val="000000"/>
          <w:szCs w:val="20"/>
        </w:rPr>
        <w:t>B</w:t>
      </w:r>
      <w:r w:rsidRPr="00DA2F93">
        <w:rPr>
          <w:color w:val="000000"/>
          <w:szCs w:val="20"/>
        </w:rPr>
        <w:t xml:space="preserve">onus </w:t>
      </w:r>
      <w:r w:rsidR="00BC2BEE" w:rsidRPr="00DA2F93">
        <w:rPr>
          <w:color w:val="000000"/>
          <w:szCs w:val="20"/>
        </w:rPr>
        <w:t>M</w:t>
      </w:r>
      <w:r w:rsidRPr="00DA2F93">
        <w:rPr>
          <w:color w:val="000000"/>
          <w:szCs w:val="20"/>
        </w:rPr>
        <w:t>alus</w:t>
      </w:r>
      <w:proofErr w:type="spellEnd"/>
      <w:r w:rsidR="00240FD9" w:rsidRPr="00DA2F93">
        <w:rPr>
          <w:color w:val="000000"/>
          <w:szCs w:val="20"/>
        </w:rPr>
        <w:t xml:space="preserve"> en fonction de l’éventuelle évolution du </w:t>
      </w:r>
      <w:proofErr w:type="spellStart"/>
      <w:r w:rsidR="00240FD9" w:rsidRPr="00DA2F93">
        <w:rPr>
          <w:color w:val="000000"/>
          <w:szCs w:val="20"/>
        </w:rPr>
        <w:t>Kd</w:t>
      </w:r>
      <w:proofErr w:type="spellEnd"/>
      <w:r w:rsidR="00240FD9" w:rsidRPr="00DA2F93">
        <w:rPr>
          <w:color w:val="000000"/>
          <w:szCs w:val="20"/>
        </w:rPr>
        <w:t xml:space="preserve"> qui résulterait de cette modification</w:t>
      </w:r>
      <w:r w:rsidRPr="00DA2F93">
        <w:rPr>
          <w:color w:val="000000"/>
          <w:szCs w:val="20"/>
        </w:rPr>
        <w:t>.</w:t>
      </w:r>
    </w:p>
    <w:p w14:paraId="3DE6A26E" w14:textId="77777777" w:rsidR="00F51426" w:rsidRDefault="00F51426" w:rsidP="001D0B10">
      <w:pPr>
        <w:jc w:val="both"/>
        <w:rPr>
          <w:color w:val="000000"/>
          <w:szCs w:val="20"/>
        </w:rPr>
      </w:pPr>
    </w:p>
    <w:p w14:paraId="669C4002" w14:textId="77777777" w:rsidR="0040681E" w:rsidRPr="00DA2F93" w:rsidRDefault="0040681E" w:rsidP="001D0B10">
      <w:pPr>
        <w:jc w:val="both"/>
        <w:rPr>
          <w:color w:val="000000"/>
          <w:szCs w:val="20"/>
        </w:rPr>
      </w:pPr>
    </w:p>
    <w:p w14:paraId="55CF4FF7" w14:textId="77777777" w:rsidR="001D0B10" w:rsidRPr="00DA2F93" w:rsidRDefault="001D0B10" w:rsidP="001D0B10">
      <w:pPr>
        <w:pStyle w:val="EDFTitre2"/>
        <w:jc w:val="both"/>
      </w:pPr>
      <w:bookmarkStart w:id="325" w:name="_Toc394668281"/>
      <w:bookmarkStart w:id="326" w:name="_Toc108113967"/>
      <w:bookmarkStart w:id="327" w:name="_Toc110436483"/>
      <w:r w:rsidRPr="00DA2F93">
        <w:t>Déplacement</w:t>
      </w:r>
      <w:r w:rsidR="00240FD9" w:rsidRPr="00DA2F93">
        <w:t xml:space="preserve"> des arrêts programmés</w:t>
      </w:r>
      <w:r w:rsidRPr="00DA2F93">
        <w:t xml:space="preserve"> à la demande du </w:t>
      </w:r>
      <w:r w:rsidR="00554628" w:rsidRPr="00DA2F93">
        <w:t>Stockeur</w:t>
      </w:r>
      <w:r w:rsidRPr="00DA2F93">
        <w:t>, dans les 30 jours</w:t>
      </w:r>
      <w:bookmarkEnd w:id="325"/>
      <w:bookmarkEnd w:id="326"/>
      <w:bookmarkEnd w:id="327"/>
    </w:p>
    <w:p w14:paraId="0D3BA81A" w14:textId="123A749B" w:rsidR="001D0B10" w:rsidRPr="00DA2F93" w:rsidRDefault="001D0B10" w:rsidP="001D0B10">
      <w:pPr>
        <w:autoSpaceDE w:val="0"/>
        <w:autoSpaceDN w:val="0"/>
        <w:adjustRightInd w:val="0"/>
        <w:spacing w:line="240" w:lineRule="atLeast"/>
        <w:jc w:val="both"/>
      </w:pPr>
      <w:r w:rsidRPr="00DA2F93">
        <w:rPr>
          <w:color w:val="000000"/>
          <w:szCs w:val="20"/>
        </w:rPr>
        <w:lastRenderedPageBreak/>
        <w:t xml:space="preserve">Les arrêts programmés peuvent être déplacés par le </w:t>
      </w:r>
      <w:r w:rsidR="00554628" w:rsidRPr="00DA2F93">
        <w:rPr>
          <w:color w:val="000000"/>
          <w:szCs w:val="20"/>
        </w:rPr>
        <w:t>Stockeur</w:t>
      </w:r>
      <w:r w:rsidRPr="00DA2F93">
        <w:rPr>
          <w:color w:val="000000"/>
          <w:szCs w:val="20"/>
        </w:rPr>
        <w:t xml:space="preserve"> </w:t>
      </w:r>
      <w:r w:rsidR="00C21083" w:rsidRPr="00DA2F93">
        <w:rPr>
          <w:color w:val="000000"/>
          <w:szCs w:val="20"/>
        </w:rPr>
        <w:t xml:space="preserve">moins de 30 jours calendaires </w:t>
      </w:r>
      <w:r w:rsidR="00F34989" w:rsidRPr="00DA2F93">
        <w:rPr>
          <w:color w:val="000000"/>
          <w:szCs w:val="20"/>
        </w:rPr>
        <w:t>avant leur date de début</w:t>
      </w:r>
      <w:r w:rsidR="00F37F21" w:rsidRPr="00DA2F93">
        <w:rPr>
          <w:color w:val="000000"/>
          <w:szCs w:val="20"/>
        </w:rPr>
        <w:t xml:space="preserve">, et sous réserve de l’accord </w:t>
      </w:r>
      <w:r w:rsidR="00673CB8" w:rsidRPr="00DA2F93">
        <w:rPr>
          <w:szCs w:val="24"/>
        </w:rPr>
        <w:t xml:space="preserve">du </w:t>
      </w:r>
      <w:r w:rsidR="00B361C0">
        <w:rPr>
          <w:szCs w:val="24"/>
        </w:rPr>
        <w:t>GRT</w:t>
      </w:r>
      <w:r w:rsidR="00673CB8" w:rsidRPr="00DA2F93">
        <w:rPr>
          <w:szCs w:val="24"/>
        </w:rPr>
        <w:t xml:space="preserve"> </w:t>
      </w:r>
      <w:r w:rsidRPr="00DA2F93">
        <w:rPr>
          <w:color w:val="000000"/>
          <w:szCs w:val="20"/>
        </w:rPr>
        <w:t xml:space="preserve">sauf </w:t>
      </w:r>
      <w:r w:rsidR="00994F3A" w:rsidRPr="00DA2F93">
        <w:rPr>
          <w:color w:val="000000"/>
          <w:szCs w:val="20"/>
        </w:rPr>
        <w:t xml:space="preserve">s’ils sont </w:t>
      </w:r>
      <w:r w:rsidRPr="00DA2F93">
        <w:rPr>
          <w:color w:val="000000"/>
          <w:szCs w:val="20"/>
        </w:rPr>
        <w:t>dans le planning hebdomadaire de disponibilité en cours.</w:t>
      </w:r>
      <w:r w:rsidR="00E07F7A" w:rsidRPr="00DA2F93">
        <w:rPr>
          <w:color w:val="000000"/>
          <w:szCs w:val="20"/>
        </w:rPr>
        <w:t xml:space="preserve"> </w:t>
      </w:r>
      <w:r w:rsidR="00994F3A" w:rsidRPr="00DA2F93">
        <w:rPr>
          <w:color w:val="000000"/>
          <w:szCs w:val="20"/>
        </w:rPr>
        <w:t>En</w:t>
      </w:r>
      <w:r w:rsidR="00F437C1" w:rsidRPr="00DA2F93">
        <w:rPr>
          <w:color w:val="000000"/>
          <w:szCs w:val="20"/>
        </w:rPr>
        <w:t xml:space="preserve"> cas</w:t>
      </w:r>
      <w:r w:rsidR="00E07F7A" w:rsidRPr="00DA2F93">
        <w:rPr>
          <w:color w:val="000000"/>
          <w:szCs w:val="20"/>
        </w:rPr>
        <w:t> </w:t>
      </w:r>
      <w:r w:rsidR="00994F3A" w:rsidRPr="00DA2F93">
        <w:rPr>
          <w:color w:val="000000"/>
          <w:szCs w:val="20"/>
        </w:rPr>
        <w:t xml:space="preserve">de déplacement </w:t>
      </w:r>
      <w:r w:rsidR="00E07F7A" w:rsidRPr="00DA2F93">
        <w:rPr>
          <w:color w:val="000000"/>
          <w:szCs w:val="20"/>
        </w:rPr>
        <w:t>:</w:t>
      </w:r>
    </w:p>
    <w:p w14:paraId="44AC9A1A" w14:textId="1615241F" w:rsidR="001D0B10" w:rsidRPr="00DA2F93" w:rsidRDefault="001D0B10" w:rsidP="008544B3">
      <w:pPr>
        <w:pStyle w:val="Paragraphedeliste"/>
        <w:numPr>
          <w:ilvl w:val="0"/>
          <w:numId w:val="9"/>
        </w:numPr>
        <w:jc w:val="both"/>
      </w:pPr>
      <w:r w:rsidRPr="00DA2F93">
        <w:t xml:space="preserve">le </w:t>
      </w:r>
      <w:r w:rsidR="00554628" w:rsidRPr="00DA2F93">
        <w:t>Stockeur</w:t>
      </w:r>
      <w:r w:rsidRPr="00DA2F93">
        <w:t xml:space="preserve"> est redevable d’une pénalité de </w:t>
      </w:r>
      <w:r w:rsidR="007B4F2B" w:rsidRPr="00DA2F93">
        <w:t>(</w:t>
      </w:r>
      <w:r w:rsidR="00FB5312" w:rsidRPr="00DA2F93">
        <w:t xml:space="preserve">puissance nette en injection </w:t>
      </w:r>
      <w:r w:rsidR="007B4F2B" w:rsidRPr="00DA2F93">
        <w:t xml:space="preserve">* 1 h * MUP) </w:t>
      </w:r>
      <w:r w:rsidR="003A3709">
        <w:t>Francs CFP</w:t>
      </w:r>
      <w:r w:rsidRPr="00DA2F93">
        <w:t xml:space="preserve"> par jour de décalage (valeur </w:t>
      </w:r>
      <w:r w:rsidR="00B00037" w:rsidRPr="00DA2F93">
        <w:t>D</w:t>
      </w:r>
      <w:r w:rsidRPr="00DA2F93">
        <w:t xml:space="preserve">ate de référence). Cette valeur est indexée selon les mêmes critères d’indexation que la </w:t>
      </w:r>
      <w:r w:rsidR="00B85137" w:rsidRPr="00DA2F93">
        <w:t xml:space="preserve">MUP (cf. </w:t>
      </w:r>
      <w:r w:rsidR="00B85137" w:rsidRPr="00DA2F93">
        <w:rPr>
          <w:color w:val="000000" w:themeColor="text1"/>
        </w:rPr>
        <w:t>§</w:t>
      </w:r>
      <w:r w:rsidR="00247F5F">
        <w:rPr>
          <w:color w:val="000000" w:themeColor="text1"/>
        </w:rPr>
        <w:fldChar w:fldCharType="begin"/>
      </w:r>
      <w:r w:rsidR="00247F5F">
        <w:rPr>
          <w:color w:val="000000" w:themeColor="text1"/>
        </w:rPr>
        <w:instrText xml:space="preserve"> REF _Ref493854929 \r \h </w:instrText>
      </w:r>
      <w:r w:rsidR="00247F5F">
        <w:rPr>
          <w:color w:val="000000" w:themeColor="text1"/>
        </w:rPr>
      </w:r>
      <w:r w:rsidR="00247F5F">
        <w:rPr>
          <w:color w:val="000000" w:themeColor="text1"/>
        </w:rPr>
        <w:fldChar w:fldCharType="separate"/>
      </w:r>
      <w:r w:rsidR="0042414D">
        <w:rPr>
          <w:color w:val="000000" w:themeColor="text1"/>
        </w:rPr>
        <w:t>12.1</w:t>
      </w:r>
      <w:r w:rsidR="00247F5F">
        <w:rPr>
          <w:color w:val="000000" w:themeColor="text1"/>
        </w:rPr>
        <w:fldChar w:fldCharType="end"/>
      </w:r>
      <w:r w:rsidR="00B85137" w:rsidRPr="00DA2F93">
        <w:rPr>
          <w:color w:val="000000" w:themeColor="text1"/>
        </w:rPr>
        <w:t>)</w:t>
      </w:r>
      <w:r w:rsidRPr="00DA2F93">
        <w:t xml:space="preserve"> ;</w:t>
      </w:r>
    </w:p>
    <w:p w14:paraId="2CA0BB2D" w14:textId="77777777" w:rsidR="001D0B10" w:rsidRPr="00DA2F93" w:rsidRDefault="001D0B10" w:rsidP="008544B3">
      <w:pPr>
        <w:pStyle w:val="Paragraphedeliste"/>
        <w:numPr>
          <w:ilvl w:val="0"/>
          <w:numId w:val="9"/>
        </w:numPr>
        <w:jc w:val="both"/>
      </w:pPr>
      <w:r w:rsidRPr="00DA2F93">
        <w:t>le Planning annuel est révisé en conséquence.</w:t>
      </w:r>
    </w:p>
    <w:p w14:paraId="2D397E1F" w14:textId="4417694A" w:rsidR="00B64F23" w:rsidRPr="00DA2F93" w:rsidRDefault="00585248">
      <w:pPr>
        <w:jc w:val="both"/>
        <w:rPr>
          <w:color w:val="000000" w:themeColor="text1"/>
        </w:rPr>
      </w:pPr>
      <w:r w:rsidRPr="00DA2F93">
        <w:rPr>
          <w:color w:val="000000" w:themeColor="text1"/>
        </w:rPr>
        <w:t xml:space="preserve">Le versement de la </w:t>
      </w:r>
      <w:r w:rsidR="007C5EDB" w:rsidRPr="00DA2F93">
        <w:rPr>
          <w:color w:val="000000" w:themeColor="text1"/>
        </w:rPr>
        <w:t>pénalité</w:t>
      </w:r>
      <w:r w:rsidRPr="00DA2F93">
        <w:rPr>
          <w:color w:val="000000" w:themeColor="text1"/>
        </w:rPr>
        <w:t xml:space="preserve"> fera l’objet d’une facture dédiée payable selon les modalités </w:t>
      </w:r>
      <w:r w:rsidR="00E21557" w:rsidRPr="00DA2F93">
        <w:rPr>
          <w:color w:val="000000" w:themeColor="text1"/>
        </w:rPr>
        <w:t>de facturation</w:t>
      </w:r>
      <w:r w:rsidRPr="00DA2F93">
        <w:rPr>
          <w:color w:val="000000" w:themeColor="text1"/>
        </w:rPr>
        <w:t xml:space="preserve"> définies </w:t>
      </w:r>
      <w:r w:rsidR="00DE4444" w:rsidRPr="00DA2F93">
        <w:rPr>
          <w:color w:val="000000" w:themeColor="text1"/>
        </w:rPr>
        <w:t>au §</w:t>
      </w:r>
      <w:r w:rsidR="004D5AE1" w:rsidRPr="00DA2F93">
        <w:rPr>
          <w:color w:val="000000" w:themeColor="text1"/>
        </w:rPr>
        <w:t xml:space="preserve"> </w:t>
      </w:r>
      <w:r w:rsidR="00C71C22" w:rsidRPr="00DA2F93">
        <w:fldChar w:fldCharType="begin"/>
      </w:r>
      <w:r w:rsidR="00C71C22" w:rsidRPr="00DA2F93">
        <w:instrText xml:space="preserve"> REF _Ref408737242 \r \h  \* MERGEFORMAT </w:instrText>
      </w:r>
      <w:r w:rsidR="00C71C22" w:rsidRPr="00DA2F93">
        <w:fldChar w:fldCharType="separate"/>
      </w:r>
      <w:r w:rsidR="0042414D" w:rsidRPr="000243CB">
        <w:rPr>
          <w:color w:val="000000" w:themeColor="text1"/>
        </w:rPr>
        <w:t>16</w:t>
      </w:r>
      <w:r w:rsidR="00C71C22" w:rsidRPr="00DA2F93">
        <w:fldChar w:fldCharType="end"/>
      </w:r>
      <w:r w:rsidRPr="00DA2F93">
        <w:rPr>
          <w:color w:val="000000" w:themeColor="text1"/>
        </w:rPr>
        <w:t>.</w:t>
      </w:r>
    </w:p>
    <w:p w14:paraId="11A83DC3" w14:textId="77777777" w:rsidR="001D0B10" w:rsidRPr="00DA2F93" w:rsidRDefault="001D0B10" w:rsidP="001D0B10">
      <w:pPr>
        <w:jc w:val="both"/>
      </w:pPr>
    </w:p>
    <w:p w14:paraId="7E5614CA" w14:textId="4E45B0D5" w:rsidR="001D0B10" w:rsidRPr="00DA2F93" w:rsidRDefault="001D0B10" w:rsidP="001D0B10">
      <w:pPr>
        <w:pStyle w:val="EDFTitre2"/>
        <w:jc w:val="both"/>
      </w:pPr>
      <w:bookmarkStart w:id="328" w:name="_Toc394668282"/>
      <w:bookmarkStart w:id="329" w:name="_Toc108113968"/>
      <w:bookmarkStart w:id="330" w:name="_Toc110436484"/>
      <w:r w:rsidRPr="00DA2F93">
        <w:t xml:space="preserve">Déplacement à la demande </w:t>
      </w:r>
      <w:r w:rsidR="00673CB8" w:rsidRPr="00DA2F93">
        <w:t xml:space="preserve">du </w:t>
      </w:r>
      <w:r w:rsidR="00B361C0">
        <w:t>GRT</w:t>
      </w:r>
      <w:r w:rsidRPr="00DA2F93">
        <w:t>, dans les 30 jours</w:t>
      </w:r>
      <w:bookmarkEnd w:id="328"/>
      <w:bookmarkEnd w:id="329"/>
      <w:bookmarkEnd w:id="330"/>
    </w:p>
    <w:p w14:paraId="47687701" w14:textId="56973E84" w:rsidR="001D0B10" w:rsidRPr="00DA2F93" w:rsidRDefault="001D0B10" w:rsidP="001D0B10">
      <w:pPr>
        <w:jc w:val="both"/>
      </w:pPr>
      <w:r w:rsidRPr="00DA2F93">
        <w:t>L</w:t>
      </w:r>
      <w:r w:rsidR="00673CB8" w:rsidRPr="00DA2F93">
        <w:t xml:space="preserve">e </w:t>
      </w:r>
      <w:r w:rsidR="00B361C0">
        <w:t>GRT</w:t>
      </w:r>
      <w:r w:rsidRPr="00DA2F93">
        <w:t xml:space="preserve"> peut demander au </w:t>
      </w:r>
      <w:r w:rsidR="00554628" w:rsidRPr="00DA2F93">
        <w:t>Stockeur</w:t>
      </w:r>
      <w:r w:rsidRPr="00DA2F93">
        <w:t xml:space="preserve"> de décaler un arrêt programmé prévu au planning annuel. Le </w:t>
      </w:r>
      <w:r w:rsidR="00554628" w:rsidRPr="00DA2F93">
        <w:t>Stockeur</w:t>
      </w:r>
      <w:r w:rsidRPr="00DA2F93">
        <w:t xml:space="preserve"> n’est pas tenu d’accepter. Dans l’hypothèse où le </w:t>
      </w:r>
      <w:r w:rsidR="00554628" w:rsidRPr="00DA2F93">
        <w:t>Stockeur</w:t>
      </w:r>
      <w:r w:rsidRPr="00DA2F93">
        <w:t xml:space="preserve"> accepte :</w:t>
      </w:r>
    </w:p>
    <w:p w14:paraId="0DAA3151" w14:textId="36B359EF" w:rsidR="001D0B10" w:rsidRPr="00DA2F93" w:rsidRDefault="001D0B10" w:rsidP="008544B3">
      <w:pPr>
        <w:pStyle w:val="Paragraphedeliste"/>
        <w:numPr>
          <w:ilvl w:val="0"/>
          <w:numId w:val="10"/>
        </w:numPr>
        <w:jc w:val="both"/>
      </w:pPr>
      <w:r w:rsidRPr="00DA2F93">
        <w:t>l</w:t>
      </w:r>
      <w:r w:rsidR="00673CB8" w:rsidRPr="00DA2F93">
        <w:t xml:space="preserve">e </w:t>
      </w:r>
      <w:r w:rsidR="00B361C0">
        <w:t>GRT</w:t>
      </w:r>
      <w:r w:rsidRPr="00DA2F93">
        <w:t xml:space="preserve"> s’engage à rembourser sur justificatifs toute dépense supplémentaire occasionnée par le déplacement </w:t>
      </w:r>
      <w:r w:rsidR="00FD53F2" w:rsidRPr="00DA2F93">
        <w:t xml:space="preserve">de l’arrêt programmé </w:t>
      </w:r>
      <w:r w:rsidRPr="00DA2F93">
        <w:t>;</w:t>
      </w:r>
    </w:p>
    <w:p w14:paraId="55329CA2" w14:textId="77777777" w:rsidR="001D0B10" w:rsidRPr="00DA2F93" w:rsidRDefault="001D0B10" w:rsidP="008544B3">
      <w:pPr>
        <w:pStyle w:val="Paragraphedeliste"/>
        <w:numPr>
          <w:ilvl w:val="0"/>
          <w:numId w:val="10"/>
        </w:numPr>
        <w:jc w:val="both"/>
      </w:pPr>
      <w:r w:rsidRPr="00DA2F93">
        <w:t xml:space="preserve">le Planning annuel </w:t>
      </w:r>
      <w:r w:rsidR="00FD53F2" w:rsidRPr="00DA2F93">
        <w:t xml:space="preserve">de disponibilité </w:t>
      </w:r>
      <w:r w:rsidRPr="00DA2F93">
        <w:t>est révisé en conséquence ;</w:t>
      </w:r>
    </w:p>
    <w:p w14:paraId="11AFD323" w14:textId="77777777" w:rsidR="001D0B10" w:rsidRPr="00DA2F93" w:rsidRDefault="001D0B10" w:rsidP="008544B3">
      <w:pPr>
        <w:pStyle w:val="Paragraphedeliste"/>
        <w:numPr>
          <w:ilvl w:val="0"/>
          <w:numId w:val="10"/>
        </w:numPr>
        <w:jc w:val="both"/>
      </w:pPr>
      <w:r w:rsidRPr="00DA2F93">
        <w:t xml:space="preserve">et d’une manière générale toutes dispositions sont prises de façon à ce que le système de </w:t>
      </w:r>
      <w:proofErr w:type="spellStart"/>
      <w:r w:rsidR="00DE4444" w:rsidRPr="00DA2F93">
        <w:t>B</w:t>
      </w:r>
      <w:r w:rsidRPr="00DA2F93">
        <w:t xml:space="preserve">onus </w:t>
      </w:r>
      <w:r w:rsidR="00DE4444" w:rsidRPr="00DA2F93">
        <w:t>M</w:t>
      </w:r>
      <w:r w:rsidRPr="00DA2F93">
        <w:t>alus</w:t>
      </w:r>
      <w:proofErr w:type="spellEnd"/>
      <w:r w:rsidRPr="00DA2F93">
        <w:t xml:space="preserve"> et de pénalités ne soit pas perturbé par le décalage ;</w:t>
      </w:r>
    </w:p>
    <w:p w14:paraId="2143A8DA" w14:textId="18DC6F4D" w:rsidR="001D0B10" w:rsidRPr="00DA2F93" w:rsidRDefault="001D0B10" w:rsidP="008544B3">
      <w:pPr>
        <w:pStyle w:val="Paragraphedeliste"/>
        <w:numPr>
          <w:ilvl w:val="0"/>
          <w:numId w:val="10"/>
        </w:numPr>
        <w:jc w:val="both"/>
      </w:pPr>
      <w:r w:rsidRPr="00DA2F93">
        <w:t>une prime est attribuée a</w:t>
      </w:r>
      <w:r w:rsidR="00972DDE" w:rsidRPr="00DA2F93">
        <w:t xml:space="preserve">u </w:t>
      </w:r>
      <w:r w:rsidR="00554628" w:rsidRPr="00DA2F93">
        <w:t>Stockeur</w:t>
      </w:r>
      <w:r w:rsidR="00972DDE" w:rsidRPr="00DA2F93">
        <w:t xml:space="preserve"> d’un montant de </w:t>
      </w:r>
      <w:r w:rsidR="007B4F2B" w:rsidRPr="00DA2F93">
        <w:t>((</w:t>
      </w:r>
      <w:r w:rsidR="00FB5312" w:rsidRPr="00DA2F93">
        <w:t>puissance nette en injection</w:t>
      </w:r>
      <w:r w:rsidR="00FB5312" w:rsidRPr="00DA2F93" w:rsidDel="00FB5312">
        <w:t xml:space="preserve"> </w:t>
      </w:r>
      <w:r w:rsidR="007B4F2B" w:rsidRPr="00DA2F93">
        <w:t xml:space="preserve">* 1 h * MUP) </w:t>
      </w:r>
      <w:r w:rsidR="00B44351" w:rsidRPr="00DA2F93">
        <w:t>/ 2</w:t>
      </w:r>
      <w:r w:rsidR="00F34989" w:rsidRPr="00DA2F93">
        <w:t xml:space="preserve"> </w:t>
      </w:r>
      <w:r w:rsidR="003A3709">
        <w:t>Francs CFP</w:t>
      </w:r>
      <w:r w:rsidRPr="00DA2F93">
        <w:t xml:space="preserve"> par jour de décalage (valeur </w:t>
      </w:r>
      <w:r w:rsidR="00B00037" w:rsidRPr="00DA2F93">
        <w:t>D</w:t>
      </w:r>
      <w:r w:rsidRPr="00DA2F93">
        <w:t xml:space="preserve">ate de référence). Cette valeur est indexée selon les mêmes critères d’indexation que la </w:t>
      </w:r>
      <w:r w:rsidR="00B85137" w:rsidRPr="00DA2F93">
        <w:t xml:space="preserve">MUP (cf. </w:t>
      </w:r>
      <w:r w:rsidR="00B85137" w:rsidRPr="00DA2F93">
        <w:rPr>
          <w:color w:val="000000" w:themeColor="text1"/>
        </w:rPr>
        <w:t>§</w:t>
      </w:r>
      <w:r w:rsidR="00247F5F">
        <w:rPr>
          <w:color w:val="000000" w:themeColor="text1"/>
        </w:rPr>
        <w:fldChar w:fldCharType="begin"/>
      </w:r>
      <w:r w:rsidR="00247F5F">
        <w:rPr>
          <w:color w:val="000000" w:themeColor="text1"/>
        </w:rPr>
        <w:instrText xml:space="preserve"> REF _Ref493855000 \r \h </w:instrText>
      </w:r>
      <w:r w:rsidR="00247F5F">
        <w:rPr>
          <w:color w:val="000000" w:themeColor="text1"/>
        </w:rPr>
      </w:r>
      <w:r w:rsidR="00247F5F">
        <w:rPr>
          <w:color w:val="000000" w:themeColor="text1"/>
        </w:rPr>
        <w:fldChar w:fldCharType="separate"/>
      </w:r>
      <w:r w:rsidR="0042414D">
        <w:rPr>
          <w:color w:val="000000" w:themeColor="text1"/>
        </w:rPr>
        <w:t>12.1</w:t>
      </w:r>
      <w:r w:rsidR="00247F5F">
        <w:rPr>
          <w:color w:val="000000" w:themeColor="text1"/>
        </w:rPr>
        <w:fldChar w:fldCharType="end"/>
      </w:r>
      <w:r w:rsidR="00B85137" w:rsidRPr="00DA2F93">
        <w:rPr>
          <w:color w:val="000000" w:themeColor="text1"/>
        </w:rPr>
        <w:t>)</w:t>
      </w:r>
      <w:r w:rsidRPr="00DA2F93">
        <w:t>.</w:t>
      </w:r>
    </w:p>
    <w:p w14:paraId="3BB18372" w14:textId="77777777" w:rsidR="001D0B10" w:rsidRPr="00DA2F93" w:rsidRDefault="001D0B10" w:rsidP="001D0B10">
      <w:pPr>
        <w:jc w:val="both"/>
      </w:pPr>
    </w:p>
    <w:p w14:paraId="240C747F" w14:textId="5BA699F7" w:rsidR="008514F6" w:rsidRPr="00DA2F93" w:rsidRDefault="008514F6" w:rsidP="001D0B10">
      <w:pPr>
        <w:jc w:val="both"/>
      </w:pPr>
      <w:r w:rsidRPr="00DA2F93">
        <w:t>Le remboursement des dépenses supplémentaires occasionné</w:t>
      </w:r>
      <w:r w:rsidR="00893E7F" w:rsidRPr="00DA2F93">
        <w:t>e</w:t>
      </w:r>
      <w:r w:rsidRPr="00DA2F93">
        <w:t>s par le déplacement de l’arrêt programmé et le versement de la prime feront l’objet d’une facture dédiée</w:t>
      </w:r>
      <w:r w:rsidR="00713FA4" w:rsidRPr="00DA2F93">
        <w:t xml:space="preserve"> payable </w:t>
      </w:r>
      <w:r w:rsidR="00514299" w:rsidRPr="00DA2F93">
        <w:t xml:space="preserve">selon les modalités </w:t>
      </w:r>
      <w:r w:rsidR="00E21557" w:rsidRPr="00DA2F93">
        <w:t>de facturation</w:t>
      </w:r>
      <w:r w:rsidR="00514299" w:rsidRPr="00DA2F93">
        <w:t xml:space="preserve"> définies </w:t>
      </w:r>
      <w:r w:rsidR="00DE4444" w:rsidRPr="00DA2F93">
        <w:t xml:space="preserve">au </w:t>
      </w:r>
      <w:r w:rsidR="00DE4444" w:rsidRPr="00DA2F93">
        <w:rPr>
          <w:color w:val="000000" w:themeColor="text1"/>
        </w:rPr>
        <w:t>§</w:t>
      </w:r>
      <w:r w:rsidR="00514299" w:rsidRPr="00DA2F93">
        <w:t xml:space="preserve"> </w:t>
      </w:r>
      <w:r w:rsidR="00C71C22" w:rsidRPr="00DA2F93">
        <w:fldChar w:fldCharType="begin"/>
      </w:r>
      <w:r w:rsidR="00C71C22" w:rsidRPr="00DA2F93">
        <w:instrText xml:space="preserve"> REF _Ref408737263 \r \h  \* MERGEFORMAT </w:instrText>
      </w:r>
      <w:r w:rsidR="00C71C22" w:rsidRPr="00DA2F93">
        <w:fldChar w:fldCharType="separate"/>
      </w:r>
      <w:r w:rsidR="0042414D">
        <w:t>16</w:t>
      </w:r>
      <w:r w:rsidR="00C71C22" w:rsidRPr="00DA2F93">
        <w:fldChar w:fldCharType="end"/>
      </w:r>
      <w:r w:rsidR="004D5AE1" w:rsidRPr="00DA2F93">
        <w:t>.</w:t>
      </w:r>
    </w:p>
    <w:p w14:paraId="0CDDFBF0" w14:textId="77777777" w:rsidR="008514F6" w:rsidRPr="00DA2F93" w:rsidRDefault="008514F6" w:rsidP="001D0B10">
      <w:pPr>
        <w:jc w:val="both"/>
      </w:pPr>
    </w:p>
    <w:p w14:paraId="3B16EAD3" w14:textId="77777777" w:rsidR="001D0B10" w:rsidRPr="00DA2F93" w:rsidRDefault="001D0B10" w:rsidP="001D0B10">
      <w:pPr>
        <w:pStyle w:val="EDFTitre1"/>
        <w:jc w:val="both"/>
      </w:pPr>
      <w:r w:rsidRPr="00DA2F93">
        <w:t xml:space="preserve"> </w:t>
      </w:r>
      <w:bookmarkStart w:id="331" w:name="_Toc201045956"/>
      <w:bookmarkStart w:id="332" w:name="_Toc286268038"/>
      <w:bookmarkStart w:id="333" w:name="_Toc394668283"/>
      <w:bookmarkStart w:id="334" w:name="_Toc108113969"/>
      <w:bookmarkStart w:id="335" w:name="_Toc110436485"/>
      <w:r w:rsidRPr="00DA2F93">
        <w:t>D</w:t>
      </w:r>
      <w:bookmarkEnd w:id="331"/>
      <w:bookmarkEnd w:id="332"/>
      <w:r w:rsidRPr="00DA2F93">
        <w:t>isponibilité anticipée</w:t>
      </w:r>
      <w:bookmarkEnd w:id="333"/>
      <w:bookmarkEnd w:id="334"/>
      <w:bookmarkEnd w:id="335"/>
    </w:p>
    <w:p w14:paraId="793B62D0" w14:textId="77777777" w:rsidR="00704FFC" w:rsidRPr="00DA2F93" w:rsidRDefault="00704FFC" w:rsidP="00704FFC">
      <w:pPr>
        <w:jc w:val="both"/>
      </w:pPr>
      <w:r w:rsidRPr="00DA2F93">
        <w:t>Il peut arriver que, lors d’un arrêt programmé dans le cadre du planning de disponibilité, l’Installation soit à nouveau disponible avant la date et l’heure annoncées dans celui-ci.</w:t>
      </w:r>
    </w:p>
    <w:p w14:paraId="764AAE4F" w14:textId="77777777" w:rsidR="00704FFC" w:rsidRPr="00DA2F93" w:rsidRDefault="00704FFC" w:rsidP="00704FFC">
      <w:pPr>
        <w:jc w:val="both"/>
      </w:pPr>
      <w:r w:rsidRPr="00DA2F93">
        <w:t>On appelle alors durée de l’anticipation la différence entre :</w:t>
      </w:r>
    </w:p>
    <w:p w14:paraId="2A0E0A81" w14:textId="77777777" w:rsidR="000D3266" w:rsidRPr="00DA2F93" w:rsidRDefault="00704FFC" w:rsidP="008544B3">
      <w:pPr>
        <w:pStyle w:val="Paragraphedeliste"/>
        <w:numPr>
          <w:ilvl w:val="0"/>
          <w:numId w:val="6"/>
        </w:numPr>
        <w:jc w:val="both"/>
      </w:pPr>
      <w:r w:rsidRPr="00DA2F93">
        <w:t xml:space="preserve">la durée prévue pour l’arrêt annuel programmé </w:t>
      </w:r>
    </w:p>
    <w:p w14:paraId="77B5CFCD" w14:textId="77777777" w:rsidR="00704FFC" w:rsidRPr="00DA2F93" w:rsidRDefault="00704FFC" w:rsidP="00704FFC">
      <w:pPr>
        <w:pStyle w:val="Paragraphedeliste"/>
        <w:ind w:left="361"/>
        <w:jc w:val="both"/>
      </w:pPr>
      <w:proofErr w:type="gramStart"/>
      <w:r w:rsidRPr="00DA2F93">
        <w:t>et</w:t>
      </w:r>
      <w:proofErr w:type="gramEnd"/>
    </w:p>
    <w:p w14:paraId="14F1DC9E" w14:textId="77777777" w:rsidR="000D3266" w:rsidRPr="00DA2F93" w:rsidRDefault="00704FFC" w:rsidP="008544B3">
      <w:pPr>
        <w:pStyle w:val="Paragraphedeliste"/>
        <w:numPr>
          <w:ilvl w:val="0"/>
          <w:numId w:val="6"/>
        </w:numPr>
        <w:jc w:val="both"/>
      </w:pPr>
      <w:r w:rsidRPr="00DA2F93">
        <w:t>la durée réelle de l’arrêt.</w:t>
      </w:r>
    </w:p>
    <w:p w14:paraId="1DA957AB" w14:textId="77777777" w:rsidR="000D3266" w:rsidRPr="00DA2F93" w:rsidRDefault="000D3266">
      <w:pPr>
        <w:jc w:val="both"/>
      </w:pPr>
    </w:p>
    <w:p w14:paraId="0494EC6E" w14:textId="77777777" w:rsidR="007F590A" w:rsidRPr="00DA2F93" w:rsidRDefault="00704FFC" w:rsidP="007F590A">
      <w:pPr>
        <w:pStyle w:val="EDFTitre2"/>
        <w:jc w:val="both"/>
      </w:pPr>
      <w:bookmarkStart w:id="336" w:name="_Toc108113970"/>
      <w:bookmarkStart w:id="337" w:name="_Toc110436486"/>
      <w:r w:rsidRPr="00DA2F93">
        <w:t>Arrêt programmé dans le planning annuel de disponibilité</w:t>
      </w:r>
      <w:bookmarkEnd w:id="336"/>
      <w:bookmarkEnd w:id="337"/>
      <w:r w:rsidRPr="00DA2F93">
        <w:t xml:space="preserve"> </w:t>
      </w:r>
    </w:p>
    <w:p w14:paraId="603ED901" w14:textId="216D6D07" w:rsidR="00231FB6" w:rsidRPr="00DA2F93" w:rsidRDefault="00704FFC" w:rsidP="00231FB6">
      <w:pPr>
        <w:jc w:val="both"/>
      </w:pPr>
      <w:r w:rsidRPr="00DA2F93">
        <w:t xml:space="preserve">Pour un arrêt programmé dans le cadre du planning annuel de disponibilité, </w:t>
      </w:r>
      <w:r w:rsidR="0082060F" w:rsidRPr="00DA2F93">
        <w:t xml:space="preserve">la durée de l’arrêt à considérer pour le calcul du </w:t>
      </w:r>
      <w:proofErr w:type="spellStart"/>
      <w:r w:rsidR="0082060F" w:rsidRPr="00DA2F93">
        <w:t>Bonus Malus</w:t>
      </w:r>
      <w:proofErr w:type="spellEnd"/>
      <w:r w:rsidR="0082060F" w:rsidRPr="00DA2F93">
        <w:t xml:space="preserve"> </w:t>
      </w:r>
      <w:r w:rsidR="002F1DE0" w:rsidRPr="00DA2F93">
        <w:t xml:space="preserve">au </w:t>
      </w:r>
      <w:r w:rsidR="002F1DE0" w:rsidRPr="00DA2F93">
        <w:rPr>
          <w:color w:val="000000" w:themeColor="text1"/>
        </w:rPr>
        <w:t>§</w:t>
      </w:r>
      <w:r w:rsidR="002F1DE0" w:rsidRPr="00DA2F93">
        <w:t xml:space="preserve"> </w:t>
      </w:r>
      <w:r w:rsidR="00C71C22" w:rsidRPr="00DA2F93">
        <w:fldChar w:fldCharType="begin"/>
      </w:r>
      <w:r w:rsidR="00C71C22" w:rsidRPr="00DA2F93">
        <w:instrText xml:space="preserve"> REF _Ref427138414 \r \h  \* MERGEFORMAT </w:instrText>
      </w:r>
      <w:r w:rsidR="00C71C22" w:rsidRPr="00DA2F93">
        <w:fldChar w:fldCharType="separate"/>
      </w:r>
      <w:r w:rsidR="0042414D">
        <w:t>11.1</w:t>
      </w:r>
      <w:r w:rsidR="00C71C22" w:rsidRPr="00DA2F93">
        <w:fldChar w:fldCharType="end"/>
      </w:r>
      <w:r w:rsidR="002F1DE0" w:rsidRPr="00DA2F93">
        <w:t xml:space="preserve"> </w:t>
      </w:r>
      <w:r w:rsidR="0082060F" w:rsidRPr="00DA2F93">
        <w:t>est la suivante :</w:t>
      </w:r>
    </w:p>
    <w:p w14:paraId="6617D92C" w14:textId="77777777" w:rsidR="000D3266" w:rsidRPr="00DA2F93" w:rsidRDefault="001D0B10" w:rsidP="008544B3">
      <w:pPr>
        <w:pStyle w:val="Paragraphedeliste"/>
        <w:numPr>
          <w:ilvl w:val="0"/>
          <w:numId w:val="6"/>
        </w:numPr>
        <w:jc w:val="both"/>
      </w:pPr>
      <w:r w:rsidRPr="00DA2F93">
        <w:t xml:space="preserve">Si la durée de l’anticipation est inférieure ou égale à 24 heures, la durée de l’arrêt sera </w:t>
      </w:r>
      <w:r w:rsidR="0082060F" w:rsidRPr="00DA2F93">
        <w:t>s</w:t>
      </w:r>
      <w:r w:rsidRPr="00DA2F93">
        <w:t>a durée réelle.</w:t>
      </w:r>
    </w:p>
    <w:p w14:paraId="3BF356B5" w14:textId="77777777" w:rsidR="00B85137" w:rsidRPr="00DA2F93" w:rsidRDefault="001D0B10" w:rsidP="008544B3">
      <w:pPr>
        <w:pStyle w:val="Paragraphedeliste"/>
        <w:numPr>
          <w:ilvl w:val="0"/>
          <w:numId w:val="6"/>
        </w:numPr>
        <w:jc w:val="both"/>
        <w:rPr>
          <w:b/>
        </w:rPr>
      </w:pPr>
      <w:r w:rsidRPr="00DA2F93">
        <w:t>Si la durée de l’anticipation est supérieure à 24 heures, la durée de l’arrêt sera calculée selon la formule suivante</w:t>
      </w:r>
      <w:r w:rsidR="007B4F2B" w:rsidRPr="00DA2F93">
        <w:t xml:space="preserve"> </w:t>
      </w:r>
      <w:r w:rsidRPr="00DA2F93">
        <w:t>:</w:t>
      </w:r>
      <w:r w:rsidR="0082060F" w:rsidRPr="00DA2F93">
        <w:t xml:space="preserve"> </w:t>
      </w:r>
    </w:p>
    <w:p w14:paraId="015242E9" w14:textId="6F9699C9" w:rsidR="000D3266" w:rsidRPr="00DA2F93" w:rsidRDefault="005E3882" w:rsidP="00B85137">
      <w:pPr>
        <w:ind w:left="361"/>
        <w:jc w:val="both"/>
        <w:rPr>
          <w:b/>
        </w:rPr>
      </w:pPr>
      <w:proofErr w:type="gramStart"/>
      <w:r w:rsidRPr="00DA2F93">
        <w:rPr>
          <w:b/>
        </w:rPr>
        <w:t>durée</w:t>
      </w:r>
      <w:proofErr w:type="gramEnd"/>
      <w:r w:rsidRPr="00DA2F93">
        <w:rPr>
          <w:b/>
        </w:rPr>
        <w:t xml:space="preserve"> </w:t>
      </w:r>
      <w:r w:rsidR="000F4F14">
        <w:rPr>
          <w:b/>
        </w:rPr>
        <w:t xml:space="preserve">programmée </w:t>
      </w:r>
      <w:r w:rsidR="000F4F14" w:rsidRPr="00DA2F93">
        <w:rPr>
          <w:b/>
        </w:rPr>
        <w:t xml:space="preserve"> </w:t>
      </w:r>
      <w:r w:rsidRPr="00DA2F93">
        <w:rPr>
          <w:b/>
        </w:rPr>
        <w:t>de l’arrêt</w:t>
      </w:r>
      <w:r w:rsidR="0036461B" w:rsidRPr="00DA2F93">
        <w:rPr>
          <w:b/>
        </w:rPr>
        <w:t xml:space="preserve"> diminuée de 24 heures</w:t>
      </w:r>
      <w:r w:rsidRPr="00DA2F93">
        <w:rPr>
          <w:b/>
        </w:rPr>
        <w:t xml:space="preserve"> </w:t>
      </w:r>
      <w:r w:rsidR="00CE4629">
        <w:rPr>
          <w:b/>
        </w:rPr>
        <w:t>-</w:t>
      </w:r>
      <w:r w:rsidRPr="00DA2F93">
        <w:rPr>
          <w:b/>
        </w:rPr>
        <w:t xml:space="preserve"> (durée de l’anticipation diminuée de 24 heures) / 2</w:t>
      </w:r>
    </w:p>
    <w:p w14:paraId="4BDDA05D" w14:textId="77777777" w:rsidR="001D0B10" w:rsidRDefault="001D0B10" w:rsidP="000548E3">
      <w:pPr>
        <w:jc w:val="both"/>
        <w:rPr>
          <w:rFonts w:cs="Arial"/>
        </w:rPr>
      </w:pPr>
    </w:p>
    <w:p w14:paraId="13507089" w14:textId="77777777" w:rsidR="0040681E" w:rsidRPr="00DA2F93" w:rsidRDefault="0040681E" w:rsidP="000548E3">
      <w:pPr>
        <w:jc w:val="both"/>
        <w:rPr>
          <w:rFonts w:cs="Arial"/>
        </w:rPr>
      </w:pPr>
    </w:p>
    <w:p w14:paraId="105DE0B6" w14:textId="77777777" w:rsidR="007F590A" w:rsidRPr="00DA2F93" w:rsidRDefault="0082060F" w:rsidP="007F590A">
      <w:pPr>
        <w:pStyle w:val="EDFTitre2"/>
        <w:jc w:val="both"/>
      </w:pPr>
      <w:bookmarkStart w:id="338" w:name="_Toc108113971"/>
      <w:bookmarkStart w:id="339" w:name="_Toc110436487"/>
      <w:r w:rsidRPr="00DA2F93">
        <w:t>Arrêt programmé dans le planning hebdomadaire de disponibilité</w:t>
      </w:r>
      <w:bookmarkEnd w:id="338"/>
      <w:bookmarkEnd w:id="339"/>
    </w:p>
    <w:p w14:paraId="7C826BA6" w14:textId="7DFC6647" w:rsidR="0082060F" w:rsidRPr="00DA2F93" w:rsidRDefault="0082060F" w:rsidP="007F590A">
      <w:pPr>
        <w:jc w:val="both"/>
      </w:pPr>
      <w:r w:rsidRPr="00DA2F93">
        <w:lastRenderedPageBreak/>
        <w:t xml:space="preserve">Pour un arrêt ou </w:t>
      </w:r>
      <w:r w:rsidR="00231FB6" w:rsidRPr="00DA2F93">
        <w:t xml:space="preserve">une </w:t>
      </w:r>
      <w:r w:rsidRPr="00DA2F93">
        <w:t xml:space="preserve">baisse de charge programmée dans le cadre du planning hebdomadaire de disponibilité, la durée de l’indisponibilité à considérer pour le calcul du </w:t>
      </w:r>
      <w:proofErr w:type="spellStart"/>
      <w:r w:rsidRPr="00DA2F93">
        <w:t>Bonus Malus</w:t>
      </w:r>
      <w:proofErr w:type="spellEnd"/>
      <w:r w:rsidRPr="00DA2F93">
        <w:t xml:space="preserve"> </w:t>
      </w:r>
      <w:r w:rsidR="002F1DE0" w:rsidRPr="00DA2F93">
        <w:t xml:space="preserve">au </w:t>
      </w:r>
      <w:r w:rsidR="002F1DE0" w:rsidRPr="00DA2F93">
        <w:rPr>
          <w:color w:val="000000" w:themeColor="text1"/>
        </w:rPr>
        <w:t>§</w:t>
      </w:r>
      <w:r w:rsidR="002F1DE0" w:rsidRPr="00DA2F93">
        <w:t xml:space="preserve"> </w:t>
      </w:r>
      <w:r w:rsidR="00C71C22" w:rsidRPr="00DA2F93">
        <w:fldChar w:fldCharType="begin"/>
      </w:r>
      <w:r w:rsidR="00C71C22" w:rsidRPr="00DA2F93">
        <w:instrText xml:space="preserve"> REF _Ref427138414 \r \h  \* MERGEFORMAT </w:instrText>
      </w:r>
      <w:r w:rsidR="00C71C22" w:rsidRPr="00DA2F93">
        <w:fldChar w:fldCharType="separate"/>
      </w:r>
      <w:r w:rsidR="0042414D">
        <w:t>11.1</w:t>
      </w:r>
      <w:r w:rsidR="00C71C22" w:rsidRPr="00DA2F93">
        <w:fldChar w:fldCharType="end"/>
      </w:r>
      <w:r w:rsidR="002F1DE0" w:rsidRPr="00DA2F93">
        <w:t xml:space="preserve"> </w:t>
      </w:r>
      <w:r w:rsidRPr="00DA2F93">
        <w:t>est la suivante :</w:t>
      </w:r>
    </w:p>
    <w:p w14:paraId="3268AEB9" w14:textId="77777777" w:rsidR="0082060F" w:rsidRPr="00DA2F93" w:rsidRDefault="00231FB6" w:rsidP="008544B3">
      <w:pPr>
        <w:pStyle w:val="Paragraphedeliste"/>
        <w:numPr>
          <w:ilvl w:val="0"/>
          <w:numId w:val="6"/>
        </w:numPr>
        <w:jc w:val="both"/>
      </w:pPr>
      <w:r w:rsidRPr="00DA2F93">
        <w:t>S</w:t>
      </w:r>
      <w:r w:rsidR="0082060F" w:rsidRPr="00DA2F93">
        <w:t xml:space="preserve">i la durée de l’anticipation est inférieure ou égale à 2 heures, la durée de l’indisponibilité sera sa durée réelle </w:t>
      </w:r>
    </w:p>
    <w:p w14:paraId="7503CCF0" w14:textId="77777777" w:rsidR="00B85137" w:rsidRPr="00DA2F93" w:rsidRDefault="0082060F" w:rsidP="008544B3">
      <w:pPr>
        <w:pStyle w:val="Paragraphedeliste"/>
        <w:numPr>
          <w:ilvl w:val="0"/>
          <w:numId w:val="6"/>
        </w:numPr>
        <w:jc w:val="both"/>
        <w:rPr>
          <w:b/>
        </w:rPr>
      </w:pPr>
      <w:r w:rsidRPr="00DA2F93">
        <w:t>Si la durée de l’anticipation est supérieure à 2 heures, la durée de l’arrêt sera calc</w:t>
      </w:r>
      <w:r w:rsidR="007B4F2B" w:rsidRPr="00DA2F93">
        <w:t xml:space="preserve">ulée selon la formule suivante </w:t>
      </w:r>
      <w:r w:rsidRPr="00DA2F93">
        <w:t xml:space="preserve">: </w:t>
      </w:r>
    </w:p>
    <w:p w14:paraId="2DDA1C4F" w14:textId="54531774" w:rsidR="007F590A" w:rsidRPr="00DA2F93" w:rsidRDefault="005E3882" w:rsidP="00B85137">
      <w:pPr>
        <w:pStyle w:val="Paragraphedeliste"/>
        <w:ind w:left="361"/>
        <w:jc w:val="both"/>
        <w:rPr>
          <w:b/>
        </w:rPr>
      </w:pPr>
      <w:proofErr w:type="gramStart"/>
      <w:r w:rsidRPr="00DA2F93">
        <w:rPr>
          <w:b/>
        </w:rPr>
        <w:t>durée</w:t>
      </w:r>
      <w:proofErr w:type="gramEnd"/>
      <w:r w:rsidRPr="00DA2F93">
        <w:rPr>
          <w:b/>
        </w:rPr>
        <w:t xml:space="preserve"> </w:t>
      </w:r>
      <w:r w:rsidR="000F4F14">
        <w:rPr>
          <w:b/>
        </w:rPr>
        <w:t>programmée</w:t>
      </w:r>
      <w:r w:rsidR="000F4F14" w:rsidRPr="00DA2F93">
        <w:rPr>
          <w:b/>
        </w:rPr>
        <w:t xml:space="preserve"> </w:t>
      </w:r>
      <w:r w:rsidR="00534D58" w:rsidRPr="00DA2F93">
        <w:rPr>
          <w:b/>
        </w:rPr>
        <w:t>de l’arrêt /</w:t>
      </w:r>
      <w:r w:rsidR="00B85137" w:rsidRPr="00DA2F93">
        <w:rPr>
          <w:b/>
        </w:rPr>
        <w:t xml:space="preserve"> baisse de charge</w:t>
      </w:r>
      <w:r w:rsidR="0036461B" w:rsidRPr="00DA2F93">
        <w:rPr>
          <w:b/>
        </w:rPr>
        <w:t xml:space="preserve"> diminuée de 2 heures</w:t>
      </w:r>
      <w:r w:rsidR="00B85137" w:rsidRPr="00DA2F93">
        <w:rPr>
          <w:b/>
        </w:rPr>
        <w:t xml:space="preserve"> </w:t>
      </w:r>
      <w:r w:rsidR="00CE4629">
        <w:rPr>
          <w:b/>
        </w:rPr>
        <w:t>-</w:t>
      </w:r>
      <w:r w:rsidR="00CE4629" w:rsidRPr="00DA2F93">
        <w:rPr>
          <w:b/>
        </w:rPr>
        <w:t xml:space="preserve"> </w:t>
      </w:r>
      <w:r w:rsidRPr="00DA2F93">
        <w:rPr>
          <w:b/>
        </w:rPr>
        <w:t>(durée de l’anticipation diminuée de 2 heures</w:t>
      </w:r>
      <w:r w:rsidR="00534D58" w:rsidRPr="00DA2F93">
        <w:rPr>
          <w:b/>
        </w:rPr>
        <w:t>) / 2</w:t>
      </w:r>
    </w:p>
    <w:p w14:paraId="237CC5C3" w14:textId="7F459FC8" w:rsidR="00831C27" w:rsidRDefault="00831C27" w:rsidP="000548E3">
      <w:pPr>
        <w:jc w:val="both"/>
        <w:rPr>
          <w:rFonts w:cs="Arial"/>
        </w:rPr>
      </w:pPr>
    </w:p>
    <w:p w14:paraId="5086EE95" w14:textId="77777777" w:rsidR="00A975B5" w:rsidRDefault="00A975B5" w:rsidP="000243CB">
      <w:pPr>
        <w:pStyle w:val="EDFTitre1"/>
      </w:pPr>
      <w:bookmarkStart w:id="340" w:name="_Ref396318000"/>
      <w:bookmarkStart w:id="341" w:name="_Ref408736934"/>
      <w:bookmarkStart w:id="342" w:name="_Ref408737242"/>
      <w:bookmarkStart w:id="343" w:name="_Ref408737263"/>
      <w:bookmarkStart w:id="344" w:name="_Ref408737293"/>
      <w:bookmarkStart w:id="345" w:name="_Ref417978545"/>
      <w:bookmarkStart w:id="346" w:name="_Ref427690008"/>
      <w:bookmarkStart w:id="347" w:name="_Toc110436488"/>
      <w:r w:rsidRPr="00DA2F93">
        <w:t>Modalité de facturation et de paiement</w:t>
      </w:r>
      <w:bookmarkEnd w:id="340"/>
      <w:bookmarkEnd w:id="341"/>
      <w:bookmarkEnd w:id="342"/>
      <w:bookmarkEnd w:id="343"/>
      <w:bookmarkEnd w:id="344"/>
      <w:bookmarkEnd w:id="345"/>
      <w:bookmarkEnd w:id="346"/>
      <w:r w:rsidRPr="00DA2F93">
        <w:t xml:space="preserve"> / Audits des charges d’exploitation</w:t>
      </w:r>
      <w:bookmarkEnd w:id="347"/>
    </w:p>
    <w:p w14:paraId="05DB6FF9" w14:textId="56ECAF99" w:rsidR="00A975B5" w:rsidRPr="00B241DC" w:rsidRDefault="00A975B5" w:rsidP="000243CB">
      <w:pPr>
        <w:pStyle w:val="corpsdetexte0"/>
      </w:pPr>
    </w:p>
    <w:p w14:paraId="67081CA7" w14:textId="77777777" w:rsidR="00054E44" w:rsidRPr="00DA2F93" w:rsidRDefault="00054E44" w:rsidP="00054E44">
      <w:pPr>
        <w:pStyle w:val="EDFTitre2"/>
      </w:pPr>
      <w:bookmarkStart w:id="348" w:name="_Toc108174427"/>
      <w:bookmarkStart w:id="349" w:name="_Toc108174547"/>
      <w:bookmarkStart w:id="350" w:name="_Toc108174712"/>
      <w:bookmarkStart w:id="351" w:name="_Toc108185141"/>
      <w:bookmarkStart w:id="352" w:name="_Toc108113973"/>
      <w:bookmarkStart w:id="353" w:name="_Toc110436489"/>
      <w:bookmarkEnd w:id="348"/>
      <w:bookmarkEnd w:id="349"/>
      <w:bookmarkEnd w:id="350"/>
      <w:bookmarkEnd w:id="351"/>
      <w:r w:rsidRPr="00DA2F93">
        <w:rPr>
          <w:color w:val="001A70"/>
        </w:rPr>
        <w:t>modalites de facturation et de paiement</w:t>
      </w:r>
      <w:bookmarkEnd w:id="352"/>
      <w:bookmarkEnd w:id="353"/>
    </w:p>
    <w:p w14:paraId="3D402130" w14:textId="51195985" w:rsidR="006D0D08" w:rsidRPr="00DA2F93" w:rsidRDefault="005C7AB9" w:rsidP="006D0D08">
      <w:pPr>
        <w:jc w:val="both"/>
        <w:rPr>
          <w:rFonts w:cs="Arial"/>
          <w:color w:val="000000" w:themeColor="text1"/>
        </w:rPr>
      </w:pPr>
      <w:r w:rsidRPr="00DA2F93">
        <w:rPr>
          <w:rFonts w:cs="Arial"/>
          <w:color w:val="000000" w:themeColor="text1"/>
        </w:rPr>
        <w:t>L</w:t>
      </w:r>
      <w:r w:rsidR="006D0D08" w:rsidRPr="00DA2F93">
        <w:rPr>
          <w:rFonts w:cs="Arial"/>
          <w:color w:val="000000" w:themeColor="text1"/>
        </w:rPr>
        <w:t>a</w:t>
      </w:r>
      <w:r w:rsidRPr="00DA2F93">
        <w:rPr>
          <w:rFonts w:cs="Arial"/>
          <w:color w:val="000000" w:themeColor="text1"/>
        </w:rPr>
        <w:t xml:space="preserve"> facture</w:t>
      </w:r>
      <w:r w:rsidR="00DF2B0B" w:rsidRPr="00DA2F93">
        <w:rPr>
          <w:rFonts w:cs="Arial"/>
          <w:color w:val="000000" w:themeColor="text1"/>
        </w:rPr>
        <w:t xml:space="preserve"> de</w:t>
      </w:r>
      <w:r w:rsidR="00562CE9" w:rsidRPr="00DA2F93">
        <w:rPr>
          <w:rFonts w:cs="Arial"/>
          <w:color w:val="000000" w:themeColor="text1"/>
        </w:rPr>
        <w:t xml:space="preserve"> </w:t>
      </w:r>
      <w:r w:rsidR="00DF2B0B" w:rsidRPr="00DA2F93">
        <w:rPr>
          <w:rFonts w:cs="Arial"/>
          <w:color w:val="000000" w:themeColor="text1"/>
        </w:rPr>
        <w:t>Prime de Puissance Garantie</w:t>
      </w:r>
      <w:r w:rsidR="001274A3" w:rsidRPr="00DA2F93">
        <w:rPr>
          <w:rFonts w:cs="Arial"/>
          <w:color w:val="000000" w:themeColor="text1"/>
        </w:rPr>
        <w:t xml:space="preserve"> </w:t>
      </w:r>
      <w:r w:rsidRPr="00DA2F93">
        <w:rPr>
          <w:rFonts w:cs="Arial"/>
          <w:color w:val="000000" w:themeColor="text1"/>
        </w:rPr>
        <w:t xml:space="preserve">est établie de façon mensuelle </w:t>
      </w:r>
      <w:r w:rsidRPr="00DA2F93">
        <w:rPr>
          <w:rFonts w:cs="Arial"/>
          <w:b/>
          <w:color w:val="000000" w:themeColor="text1"/>
        </w:rPr>
        <w:t xml:space="preserve">à terme échu </w:t>
      </w:r>
      <w:r w:rsidR="006D0D08" w:rsidRPr="00DA2F93">
        <w:rPr>
          <w:rFonts w:cs="Arial"/>
          <w:color w:val="000000" w:themeColor="text1"/>
        </w:rPr>
        <w:t xml:space="preserve">par le </w:t>
      </w:r>
      <w:r w:rsidR="00554628" w:rsidRPr="00DA2F93">
        <w:rPr>
          <w:rFonts w:cs="Arial"/>
          <w:color w:val="000000" w:themeColor="text1"/>
        </w:rPr>
        <w:t>Stockeur</w:t>
      </w:r>
      <w:r w:rsidR="006D0D08" w:rsidRPr="00DA2F93">
        <w:rPr>
          <w:rFonts w:cs="Arial"/>
          <w:color w:val="000000" w:themeColor="text1"/>
        </w:rPr>
        <w:t>.</w:t>
      </w:r>
      <w:r w:rsidR="00562CE9" w:rsidRPr="00DA2F93">
        <w:rPr>
          <w:rFonts w:cs="Arial"/>
          <w:color w:val="000000" w:themeColor="text1"/>
        </w:rPr>
        <w:t xml:space="preserve"> De même la facture de</w:t>
      </w:r>
      <w:r w:rsidR="00FF0E25">
        <w:rPr>
          <w:rFonts w:cs="Arial"/>
          <w:color w:val="000000" w:themeColor="text1"/>
        </w:rPr>
        <w:t xml:space="preserve"> la</w:t>
      </w:r>
      <w:r w:rsidR="00562CE9" w:rsidRPr="00DA2F93">
        <w:rPr>
          <w:rFonts w:cs="Arial"/>
          <w:color w:val="000000" w:themeColor="text1"/>
        </w:rPr>
        <w:t xml:space="preserve"> </w:t>
      </w:r>
      <w:r w:rsidR="00FF0E25">
        <w:rPr>
          <w:rFonts w:cs="Arial"/>
          <w:color w:val="000000" w:themeColor="text1"/>
        </w:rPr>
        <w:t>Prime de coûts variables</w:t>
      </w:r>
      <w:r w:rsidR="00562CE9" w:rsidRPr="00DA2F93">
        <w:rPr>
          <w:rFonts w:cs="Arial"/>
          <w:color w:val="000000" w:themeColor="text1"/>
        </w:rPr>
        <w:t xml:space="preserve"> est établie de façon mensuelle </w:t>
      </w:r>
      <w:r w:rsidR="00562CE9" w:rsidRPr="00DA2F93">
        <w:rPr>
          <w:rFonts w:cs="Arial"/>
          <w:b/>
          <w:color w:val="000000" w:themeColor="text1"/>
        </w:rPr>
        <w:t xml:space="preserve">à terme échu </w:t>
      </w:r>
      <w:r w:rsidR="00562CE9" w:rsidRPr="00DA2F93">
        <w:rPr>
          <w:rFonts w:cs="Arial"/>
          <w:color w:val="000000" w:themeColor="text1"/>
        </w:rPr>
        <w:t>par le Stockeur.</w:t>
      </w:r>
    </w:p>
    <w:p w14:paraId="60460534" w14:textId="548C3475" w:rsidR="008514F6" w:rsidRPr="00DA2F93" w:rsidRDefault="00DF2B0B" w:rsidP="000548E3">
      <w:pPr>
        <w:jc w:val="both"/>
        <w:rPr>
          <w:rFonts w:cs="Arial"/>
          <w:color w:val="000000" w:themeColor="text1"/>
        </w:rPr>
      </w:pPr>
      <w:r w:rsidRPr="00DA2F93">
        <w:rPr>
          <w:rFonts w:cs="Arial"/>
          <w:color w:val="000000" w:themeColor="text1"/>
        </w:rPr>
        <w:t>Les éléments de calcul de la fa</w:t>
      </w:r>
      <w:r w:rsidR="005C7AB9" w:rsidRPr="00DA2F93">
        <w:rPr>
          <w:rFonts w:cs="Arial"/>
          <w:color w:val="000000" w:themeColor="text1"/>
        </w:rPr>
        <w:t>cture (prix unitaire</w:t>
      </w:r>
      <w:r w:rsidRPr="00DA2F93">
        <w:rPr>
          <w:rFonts w:cs="Arial"/>
          <w:color w:val="000000" w:themeColor="text1"/>
        </w:rPr>
        <w:t xml:space="preserve"> et indexation</w:t>
      </w:r>
      <w:r w:rsidR="006D0D08" w:rsidRPr="00DA2F93">
        <w:rPr>
          <w:rFonts w:cs="Arial"/>
          <w:color w:val="000000" w:themeColor="text1"/>
        </w:rPr>
        <w:t>) t</w:t>
      </w:r>
      <w:r w:rsidRPr="00DA2F93">
        <w:rPr>
          <w:rFonts w:cs="Arial"/>
          <w:color w:val="000000" w:themeColor="text1"/>
        </w:rPr>
        <w:t xml:space="preserve">, au préalable, soumis pour accord </w:t>
      </w:r>
      <w:r w:rsidR="00673CB8" w:rsidRPr="00DA2F93">
        <w:rPr>
          <w:rFonts w:cs="Arial"/>
          <w:color w:val="000000" w:themeColor="text1"/>
        </w:rPr>
        <w:t xml:space="preserve">au </w:t>
      </w:r>
      <w:r w:rsidR="00B361C0">
        <w:rPr>
          <w:rFonts w:cs="Arial"/>
          <w:color w:val="000000" w:themeColor="text1"/>
        </w:rPr>
        <w:t>GRT</w:t>
      </w:r>
      <w:r w:rsidRPr="00DA2F93">
        <w:rPr>
          <w:rFonts w:cs="Arial"/>
          <w:color w:val="000000" w:themeColor="text1"/>
        </w:rPr>
        <w:t xml:space="preserve"> </w:t>
      </w:r>
      <w:r w:rsidR="00617F35">
        <w:rPr>
          <w:rFonts w:cs="Arial"/>
          <w:color w:val="000000" w:themeColor="text1"/>
        </w:rPr>
        <w:t>10</w:t>
      </w:r>
      <w:r w:rsidRPr="00DA2F93">
        <w:rPr>
          <w:rFonts w:cs="Arial"/>
          <w:color w:val="000000" w:themeColor="text1"/>
        </w:rPr>
        <w:t xml:space="preserve"> jours </w:t>
      </w:r>
      <w:r w:rsidR="00523ADA" w:rsidRPr="00DA2F93">
        <w:rPr>
          <w:rFonts w:cs="Arial"/>
          <w:color w:val="000000" w:themeColor="text1"/>
        </w:rPr>
        <w:t>ouvr</w:t>
      </w:r>
      <w:r w:rsidR="00523ADA">
        <w:rPr>
          <w:rFonts w:cs="Arial"/>
          <w:color w:val="000000" w:themeColor="text1"/>
        </w:rPr>
        <w:t>é</w:t>
      </w:r>
      <w:r w:rsidR="00523ADA" w:rsidRPr="00DA2F93">
        <w:rPr>
          <w:rFonts w:cs="Arial"/>
          <w:color w:val="000000" w:themeColor="text1"/>
        </w:rPr>
        <w:t xml:space="preserve">s </w:t>
      </w:r>
      <w:r w:rsidRPr="00DA2F93">
        <w:rPr>
          <w:rFonts w:cs="Arial"/>
          <w:color w:val="000000" w:themeColor="text1"/>
        </w:rPr>
        <w:t>après la fin de la période facturée</w:t>
      </w:r>
      <w:r w:rsidR="00BB5794" w:rsidRPr="00DA2F93">
        <w:rPr>
          <w:rFonts w:cs="Arial"/>
          <w:color w:val="000000" w:themeColor="text1"/>
        </w:rPr>
        <w:t xml:space="preserve">. </w:t>
      </w:r>
    </w:p>
    <w:p w14:paraId="794282C4" w14:textId="6CB0220A" w:rsidR="00AD71C4" w:rsidRPr="00DA2F93" w:rsidRDefault="00BB5794" w:rsidP="000548E3">
      <w:pPr>
        <w:jc w:val="both"/>
        <w:rPr>
          <w:rFonts w:cs="Arial"/>
          <w:color w:val="000000" w:themeColor="text1"/>
        </w:rPr>
      </w:pPr>
      <w:r w:rsidRPr="00DA2F93">
        <w:rPr>
          <w:rFonts w:cs="Arial"/>
          <w:color w:val="000000" w:themeColor="text1"/>
        </w:rPr>
        <w:t xml:space="preserve">La facture n’est émise par le </w:t>
      </w:r>
      <w:r w:rsidR="00554628" w:rsidRPr="00DA2F93">
        <w:rPr>
          <w:rFonts w:cs="Arial"/>
          <w:color w:val="000000" w:themeColor="text1"/>
        </w:rPr>
        <w:t>Stockeur</w:t>
      </w:r>
      <w:r w:rsidRPr="00DA2F93">
        <w:rPr>
          <w:rFonts w:cs="Arial"/>
          <w:color w:val="000000" w:themeColor="text1"/>
        </w:rPr>
        <w:t xml:space="preserve"> qu’après notification par l</w:t>
      </w:r>
      <w:r w:rsidR="00673CB8" w:rsidRPr="00DA2F93">
        <w:rPr>
          <w:rFonts w:cs="Arial"/>
          <w:color w:val="000000" w:themeColor="text1"/>
        </w:rPr>
        <w:t xml:space="preserve">e </w:t>
      </w:r>
      <w:r w:rsidR="00B361C0">
        <w:rPr>
          <w:rFonts w:cs="Arial"/>
          <w:color w:val="000000" w:themeColor="text1"/>
        </w:rPr>
        <w:t>GRT</w:t>
      </w:r>
      <w:r w:rsidRPr="00DA2F93">
        <w:rPr>
          <w:rFonts w:cs="Arial"/>
          <w:color w:val="000000" w:themeColor="text1"/>
        </w:rPr>
        <w:t xml:space="preserve"> de son accord sur les éléments de calcul</w:t>
      </w:r>
      <w:r w:rsidR="00D9665D" w:rsidRPr="00DA2F93">
        <w:rPr>
          <w:rFonts w:cs="Arial"/>
          <w:color w:val="000000" w:themeColor="text1"/>
        </w:rPr>
        <w:t xml:space="preserve"> devant intervenir dans un délai de 5 jours </w:t>
      </w:r>
      <w:r w:rsidR="00E10981" w:rsidRPr="00DA2F93">
        <w:rPr>
          <w:rFonts w:cs="Arial"/>
          <w:color w:val="000000" w:themeColor="text1"/>
        </w:rPr>
        <w:t>ouvr</w:t>
      </w:r>
      <w:r w:rsidR="00E10981">
        <w:rPr>
          <w:rFonts w:cs="Arial"/>
          <w:color w:val="000000" w:themeColor="text1"/>
        </w:rPr>
        <w:t>é</w:t>
      </w:r>
      <w:r w:rsidR="00E10981" w:rsidRPr="00DA2F93">
        <w:rPr>
          <w:rFonts w:cs="Arial"/>
          <w:color w:val="000000" w:themeColor="text1"/>
        </w:rPr>
        <w:t xml:space="preserve">s </w:t>
      </w:r>
      <w:r w:rsidR="00D9665D" w:rsidRPr="00DA2F93">
        <w:rPr>
          <w:rFonts w:cs="Arial"/>
          <w:color w:val="000000" w:themeColor="text1"/>
        </w:rPr>
        <w:t>à compter de la réception de ces éléments</w:t>
      </w:r>
      <w:r w:rsidRPr="00DA2F93">
        <w:rPr>
          <w:rFonts w:cs="Arial"/>
          <w:color w:val="000000" w:themeColor="text1"/>
        </w:rPr>
        <w:t xml:space="preserve">. Une absence de notification dans le délai imparti ouvre droit au </w:t>
      </w:r>
      <w:r w:rsidR="00554628" w:rsidRPr="00DA2F93">
        <w:rPr>
          <w:rFonts w:cs="Arial"/>
          <w:color w:val="000000" w:themeColor="text1"/>
        </w:rPr>
        <w:t>Stockeur</w:t>
      </w:r>
      <w:r w:rsidRPr="00DA2F93">
        <w:rPr>
          <w:rFonts w:cs="Arial"/>
          <w:color w:val="000000" w:themeColor="text1"/>
        </w:rPr>
        <w:t xml:space="preserve"> d’émettre la facture concernée</w:t>
      </w:r>
      <w:r w:rsidR="00DF2B0B" w:rsidRPr="00DA2F93">
        <w:rPr>
          <w:rFonts w:cs="Arial"/>
          <w:color w:val="000000" w:themeColor="text1"/>
        </w:rPr>
        <w:t>.</w:t>
      </w:r>
    </w:p>
    <w:p w14:paraId="079F821B" w14:textId="53C3D7A8" w:rsidR="00AD71C4" w:rsidRPr="00DA2F93" w:rsidRDefault="004B75D2" w:rsidP="007779BC">
      <w:pPr>
        <w:jc w:val="both"/>
        <w:rPr>
          <w:color w:val="000000" w:themeColor="text1"/>
        </w:rPr>
      </w:pPr>
      <w:r w:rsidRPr="00DA2F93">
        <w:rPr>
          <w:rFonts w:cs="Arial"/>
          <w:color w:val="000000" w:themeColor="text1"/>
        </w:rPr>
        <w:t>En cas d’accord sur les éléments de calcul, l</w:t>
      </w:r>
      <w:r w:rsidRPr="00DA2F93">
        <w:rPr>
          <w:color w:val="000000" w:themeColor="text1"/>
        </w:rPr>
        <w:t xml:space="preserve">es factures du </w:t>
      </w:r>
      <w:r w:rsidR="00554628" w:rsidRPr="00DA2F93">
        <w:rPr>
          <w:color w:val="000000" w:themeColor="text1"/>
        </w:rPr>
        <w:t>Stockeur</w:t>
      </w:r>
      <w:r w:rsidRPr="00DA2F93">
        <w:rPr>
          <w:color w:val="000000" w:themeColor="text1"/>
        </w:rPr>
        <w:t xml:space="preserve"> sont payées par l</w:t>
      </w:r>
      <w:r w:rsidR="00673CB8" w:rsidRPr="00DA2F93">
        <w:rPr>
          <w:color w:val="000000" w:themeColor="text1"/>
        </w:rPr>
        <w:t xml:space="preserve">e </w:t>
      </w:r>
      <w:r w:rsidR="00B361C0">
        <w:rPr>
          <w:color w:val="000000" w:themeColor="text1"/>
        </w:rPr>
        <w:t>GRT</w:t>
      </w:r>
      <w:r w:rsidRPr="00DA2F93">
        <w:rPr>
          <w:color w:val="000000" w:themeColor="text1"/>
        </w:rPr>
        <w:t xml:space="preserve"> au plus tard 30 jours calendaires après </w:t>
      </w:r>
      <w:r w:rsidR="00994F3A" w:rsidRPr="00DA2F93">
        <w:rPr>
          <w:color w:val="000000" w:themeColor="text1"/>
        </w:rPr>
        <w:t>réception de la facture.</w:t>
      </w:r>
    </w:p>
    <w:p w14:paraId="0D4F04AD" w14:textId="77777777" w:rsidR="001B28C6" w:rsidRPr="00DA2F93" w:rsidRDefault="001B28C6" w:rsidP="007779BC">
      <w:pPr>
        <w:jc w:val="both"/>
        <w:rPr>
          <w:color w:val="000000" w:themeColor="text1"/>
        </w:rPr>
      </w:pPr>
    </w:p>
    <w:p w14:paraId="2B732389" w14:textId="77777777" w:rsidR="006E1AA6" w:rsidRPr="00DA2F93" w:rsidRDefault="006E1AA6" w:rsidP="00231FB6">
      <w:pPr>
        <w:shd w:val="clear" w:color="auto" w:fill="FFFFFF" w:themeFill="background1"/>
        <w:jc w:val="both"/>
        <w:rPr>
          <w:rFonts w:cs="Arial"/>
          <w:color w:val="000000" w:themeColor="text1"/>
        </w:rPr>
      </w:pPr>
      <w:r w:rsidRPr="00DA2F93">
        <w:rPr>
          <w:rFonts w:cs="Arial"/>
          <w:color w:val="000000" w:themeColor="text1"/>
        </w:rPr>
        <w:t>La facture (ou l’avoir) de :</w:t>
      </w:r>
    </w:p>
    <w:p w14:paraId="7B270B91" w14:textId="77777777" w:rsidR="006E1AA6" w:rsidRPr="00DA2F93" w:rsidRDefault="004B75D2" w:rsidP="008544B3">
      <w:pPr>
        <w:pStyle w:val="Paragraphedeliste"/>
        <w:numPr>
          <w:ilvl w:val="0"/>
          <w:numId w:val="6"/>
        </w:numPr>
        <w:shd w:val="clear" w:color="auto" w:fill="FFFFFF" w:themeFill="background1"/>
        <w:jc w:val="both"/>
        <w:rPr>
          <w:rFonts w:cs="Arial"/>
          <w:color w:val="000000" w:themeColor="text1"/>
        </w:rPr>
      </w:pPr>
      <w:proofErr w:type="spellStart"/>
      <w:r w:rsidRPr="00DA2F93">
        <w:rPr>
          <w:rFonts w:cs="Arial"/>
          <w:color w:val="000000" w:themeColor="text1"/>
        </w:rPr>
        <w:t>Bonus Malus</w:t>
      </w:r>
      <w:proofErr w:type="spellEnd"/>
      <w:r w:rsidRPr="00DA2F93">
        <w:rPr>
          <w:rFonts w:cs="Arial"/>
          <w:color w:val="000000" w:themeColor="text1"/>
        </w:rPr>
        <w:t> ;</w:t>
      </w:r>
    </w:p>
    <w:p w14:paraId="593A1262" w14:textId="77777777" w:rsidR="006E1AA6" w:rsidRPr="00DA2F93" w:rsidRDefault="004B75D2" w:rsidP="008544B3">
      <w:pPr>
        <w:pStyle w:val="Paragraphedeliste"/>
        <w:numPr>
          <w:ilvl w:val="0"/>
          <w:numId w:val="6"/>
        </w:numPr>
        <w:shd w:val="clear" w:color="auto" w:fill="FFFFFF" w:themeFill="background1"/>
        <w:jc w:val="both"/>
        <w:rPr>
          <w:rFonts w:cs="Arial"/>
          <w:color w:val="000000" w:themeColor="text1"/>
        </w:rPr>
      </w:pPr>
      <w:r w:rsidRPr="00DA2F93">
        <w:rPr>
          <w:rFonts w:cs="Arial"/>
          <w:color w:val="000000" w:themeColor="text1"/>
        </w:rPr>
        <w:t>Pénalités</w:t>
      </w:r>
      <w:r w:rsidR="005C7AB9" w:rsidRPr="00DA2F93">
        <w:rPr>
          <w:rFonts w:cs="Arial"/>
          <w:color w:val="000000" w:themeColor="text1"/>
        </w:rPr>
        <w:t> ;</w:t>
      </w:r>
    </w:p>
    <w:p w14:paraId="23E0135E" w14:textId="77777777" w:rsidR="006E1AA6" w:rsidRPr="00DA2F93" w:rsidRDefault="004B75D2" w:rsidP="006E1AA6">
      <w:pPr>
        <w:shd w:val="clear" w:color="auto" w:fill="FFFFFF" w:themeFill="background1"/>
        <w:ind w:left="1"/>
        <w:jc w:val="both"/>
        <w:rPr>
          <w:rFonts w:cs="Arial"/>
          <w:color w:val="000000" w:themeColor="text1"/>
        </w:rPr>
      </w:pPr>
      <w:proofErr w:type="gramStart"/>
      <w:r w:rsidRPr="00DA2F93">
        <w:rPr>
          <w:rFonts w:cs="Arial"/>
          <w:color w:val="000000" w:themeColor="text1"/>
        </w:rPr>
        <w:t>est</w:t>
      </w:r>
      <w:proofErr w:type="gramEnd"/>
      <w:r w:rsidRPr="00DA2F93">
        <w:rPr>
          <w:rFonts w:cs="Arial"/>
          <w:color w:val="000000" w:themeColor="text1"/>
        </w:rPr>
        <w:t xml:space="preserve"> établie de façon </w:t>
      </w:r>
      <w:r w:rsidR="005C7AB9" w:rsidRPr="00DA2F93">
        <w:rPr>
          <w:rFonts w:cs="Arial"/>
          <w:color w:val="000000" w:themeColor="text1"/>
        </w:rPr>
        <w:t>annuelle</w:t>
      </w:r>
      <w:r w:rsidRPr="00DA2F93">
        <w:rPr>
          <w:rFonts w:cs="Arial"/>
          <w:color w:val="000000" w:themeColor="text1"/>
        </w:rPr>
        <w:t xml:space="preserve"> à terme échu</w:t>
      </w:r>
      <w:r w:rsidR="004B2A42" w:rsidRPr="00DA2F93">
        <w:rPr>
          <w:rFonts w:cs="Arial"/>
          <w:color w:val="000000" w:themeColor="text1"/>
        </w:rPr>
        <w:t>, à la fin de l’année civile considérée</w:t>
      </w:r>
      <w:r w:rsidRPr="00DA2F93">
        <w:rPr>
          <w:rFonts w:cs="Arial"/>
          <w:color w:val="000000" w:themeColor="text1"/>
        </w:rPr>
        <w:t>.</w:t>
      </w:r>
    </w:p>
    <w:p w14:paraId="6653C7DA" w14:textId="77777777" w:rsidR="005C7AB9" w:rsidRPr="00DA2F93" w:rsidRDefault="005C7AB9" w:rsidP="006E1AA6">
      <w:pPr>
        <w:shd w:val="clear" w:color="auto" w:fill="FFFFFF" w:themeFill="background1"/>
        <w:ind w:left="1"/>
        <w:jc w:val="both"/>
        <w:rPr>
          <w:rFonts w:cs="Arial"/>
          <w:color w:val="000000" w:themeColor="text1"/>
        </w:rPr>
      </w:pPr>
    </w:p>
    <w:p w14:paraId="3726D3B5" w14:textId="63D3B1FB" w:rsidR="00B01164" w:rsidRPr="00DA2F93" w:rsidRDefault="006E1AA6" w:rsidP="006E1AA6">
      <w:pPr>
        <w:shd w:val="clear" w:color="auto" w:fill="FFFFFF" w:themeFill="background1"/>
        <w:jc w:val="both"/>
        <w:rPr>
          <w:szCs w:val="24"/>
        </w:rPr>
      </w:pPr>
      <w:r w:rsidRPr="00DA2F93">
        <w:rPr>
          <w:szCs w:val="24"/>
        </w:rPr>
        <w:t>Pour un</w:t>
      </w:r>
      <w:r w:rsidR="006D0D08" w:rsidRPr="00DA2F93">
        <w:rPr>
          <w:szCs w:val="24"/>
        </w:rPr>
        <w:t>e année</w:t>
      </w:r>
      <w:r w:rsidR="00CC4F9A" w:rsidRPr="00DA2F93">
        <w:rPr>
          <w:szCs w:val="24"/>
        </w:rPr>
        <w:t xml:space="preserve"> </w:t>
      </w:r>
      <w:r w:rsidR="004B2A42" w:rsidRPr="00DA2F93">
        <w:rPr>
          <w:szCs w:val="24"/>
        </w:rPr>
        <w:t xml:space="preserve">civile </w:t>
      </w:r>
      <w:r w:rsidRPr="00DA2F93">
        <w:rPr>
          <w:szCs w:val="24"/>
        </w:rPr>
        <w:t>donné</w:t>
      </w:r>
      <w:r w:rsidR="006D0D08" w:rsidRPr="00DA2F93">
        <w:rPr>
          <w:szCs w:val="24"/>
        </w:rPr>
        <w:t>e</w:t>
      </w:r>
      <w:r w:rsidRPr="00DA2F93">
        <w:rPr>
          <w:szCs w:val="24"/>
        </w:rPr>
        <w:t>, elle est émise pa</w:t>
      </w:r>
      <w:r w:rsidR="006D0D08" w:rsidRPr="00DA2F93">
        <w:rPr>
          <w:szCs w:val="24"/>
        </w:rPr>
        <w:t xml:space="preserve">r le </w:t>
      </w:r>
      <w:r w:rsidR="00554628" w:rsidRPr="00DA2F93">
        <w:rPr>
          <w:szCs w:val="24"/>
        </w:rPr>
        <w:t>Stockeur</w:t>
      </w:r>
      <w:r w:rsidR="006D0D08" w:rsidRPr="00DA2F93">
        <w:rPr>
          <w:szCs w:val="24"/>
        </w:rPr>
        <w:t xml:space="preserve"> en début d’année</w:t>
      </w:r>
      <w:r w:rsidRPr="00DA2F93">
        <w:rPr>
          <w:szCs w:val="24"/>
        </w:rPr>
        <w:t xml:space="preserve"> </w:t>
      </w:r>
      <w:r w:rsidR="004B2A42" w:rsidRPr="00DA2F93">
        <w:rPr>
          <w:szCs w:val="24"/>
        </w:rPr>
        <w:t xml:space="preserve">civile </w:t>
      </w:r>
      <w:r w:rsidR="008514F6" w:rsidRPr="00DA2F93">
        <w:rPr>
          <w:szCs w:val="24"/>
        </w:rPr>
        <w:t>suivant</w:t>
      </w:r>
      <w:r w:rsidR="006D0D08" w:rsidRPr="00DA2F93">
        <w:rPr>
          <w:szCs w:val="24"/>
        </w:rPr>
        <w:t>e</w:t>
      </w:r>
      <w:r w:rsidRPr="00DA2F93">
        <w:rPr>
          <w:szCs w:val="24"/>
        </w:rPr>
        <w:t xml:space="preserve">, sur la base des éléments de calcul partagés entre le </w:t>
      </w:r>
      <w:r w:rsidR="00554628" w:rsidRPr="00DA2F93">
        <w:rPr>
          <w:szCs w:val="24"/>
        </w:rPr>
        <w:t>Stockeur</w:t>
      </w:r>
      <w:r w:rsidRPr="00DA2F93">
        <w:rPr>
          <w:szCs w:val="24"/>
        </w:rPr>
        <w:t xml:space="preserve"> et l</w:t>
      </w:r>
      <w:r w:rsidR="00673CB8" w:rsidRPr="00DA2F93">
        <w:rPr>
          <w:szCs w:val="24"/>
        </w:rPr>
        <w:t xml:space="preserve">e </w:t>
      </w:r>
      <w:r w:rsidR="00B361C0">
        <w:rPr>
          <w:szCs w:val="24"/>
        </w:rPr>
        <w:t>GRT</w:t>
      </w:r>
      <w:r w:rsidRPr="00DA2F93">
        <w:rPr>
          <w:szCs w:val="24"/>
        </w:rPr>
        <w:t xml:space="preserve">. </w:t>
      </w:r>
    </w:p>
    <w:p w14:paraId="6794949A" w14:textId="33FE4B35" w:rsidR="006E1AA6" w:rsidRPr="00DA2F93" w:rsidRDefault="006E1AA6" w:rsidP="006E1AA6">
      <w:pPr>
        <w:shd w:val="clear" w:color="auto" w:fill="FFFFFF" w:themeFill="background1"/>
        <w:jc w:val="both"/>
        <w:rPr>
          <w:szCs w:val="24"/>
        </w:rPr>
      </w:pPr>
      <w:r w:rsidRPr="00DA2F93">
        <w:rPr>
          <w:szCs w:val="24"/>
        </w:rPr>
        <w:t xml:space="preserve">Au cas où il s’agit d’un avoir, le </w:t>
      </w:r>
      <w:r w:rsidR="00554628" w:rsidRPr="00DA2F93">
        <w:rPr>
          <w:szCs w:val="24"/>
        </w:rPr>
        <w:t>Stockeur</w:t>
      </w:r>
      <w:r w:rsidRPr="00DA2F93">
        <w:rPr>
          <w:szCs w:val="24"/>
        </w:rPr>
        <w:t xml:space="preserve"> est tenu de l’émettre avant le 10</w:t>
      </w:r>
      <w:r w:rsidRPr="00DA2F93">
        <w:rPr>
          <w:szCs w:val="24"/>
          <w:vertAlign w:val="superscript"/>
        </w:rPr>
        <w:t>ème</w:t>
      </w:r>
      <w:r w:rsidRPr="00DA2F93">
        <w:rPr>
          <w:szCs w:val="24"/>
        </w:rPr>
        <w:t xml:space="preserve"> jour ouvrable suivant l’achèvement </w:t>
      </w:r>
      <w:r w:rsidR="008514F6" w:rsidRPr="00DA2F93">
        <w:rPr>
          <w:szCs w:val="24"/>
        </w:rPr>
        <w:t>d</w:t>
      </w:r>
      <w:r w:rsidR="006D0D08" w:rsidRPr="00DA2F93">
        <w:rPr>
          <w:szCs w:val="24"/>
        </w:rPr>
        <w:t>e l’année</w:t>
      </w:r>
      <w:r w:rsidR="004B2A42" w:rsidRPr="00DA2F93">
        <w:rPr>
          <w:szCs w:val="24"/>
        </w:rPr>
        <w:t xml:space="preserve"> civile</w:t>
      </w:r>
      <w:r w:rsidRPr="00DA2F93">
        <w:rPr>
          <w:szCs w:val="24"/>
        </w:rPr>
        <w:t>. En cas de manquement à cette obligation, l</w:t>
      </w:r>
      <w:r w:rsidR="00673CB8" w:rsidRPr="00DA2F93">
        <w:rPr>
          <w:szCs w:val="24"/>
        </w:rPr>
        <w:t xml:space="preserve">e </w:t>
      </w:r>
      <w:r w:rsidR="00B361C0">
        <w:rPr>
          <w:szCs w:val="24"/>
        </w:rPr>
        <w:t>GRT</w:t>
      </w:r>
      <w:r w:rsidRPr="00DA2F93">
        <w:rPr>
          <w:szCs w:val="24"/>
        </w:rPr>
        <w:t xml:space="preserve"> est en droit d’émettre une facture pour le montant concerné.</w:t>
      </w:r>
    </w:p>
    <w:p w14:paraId="4A15CD95" w14:textId="29C09D47" w:rsidR="00B01164" w:rsidRPr="00DA2F93" w:rsidRDefault="00B01164" w:rsidP="00B01164">
      <w:pPr>
        <w:shd w:val="clear" w:color="auto" w:fill="FFFFFF" w:themeFill="background1"/>
        <w:jc w:val="both"/>
        <w:rPr>
          <w:szCs w:val="24"/>
        </w:rPr>
      </w:pPr>
      <w:r w:rsidRPr="00DA2F93">
        <w:rPr>
          <w:szCs w:val="24"/>
        </w:rPr>
        <w:t xml:space="preserve">S’il s’agit d’un avoir, cet avoir est déduit à due concurrence des factures suivantes du </w:t>
      </w:r>
      <w:r w:rsidR="00554628" w:rsidRPr="00DA2F93">
        <w:rPr>
          <w:szCs w:val="24"/>
        </w:rPr>
        <w:t>Stockeur</w:t>
      </w:r>
      <w:r w:rsidRPr="00DA2F93">
        <w:rPr>
          <w:szCs w:val="24"/>
        </w:rPr>
        <w:t xml:space="preserve"> </w:t>
      </w:r>
      <w:r w:rsidR="00116DA5">
        <w:rPr>
          <w:szCs w:val="24"/>
        </w:rPr>
        <w:t>au</w:t>
      </w:r>
      <w:r w:rsidR="00673CB8" w:rsidRPr="00DA2F93">
        <w:rPr>
          <w:szCs w:val="24"/>
        </w:rPr>
        <w:t xml:space="preserve"> </w:t>
      </w:r>
      <w:r w:rsidR="00B361C0">
        <w:rPr>
          <w:szCs w:val="24"/>
        </w:rPr>
        <w:t>GRT</w:t>
      </w:r>
      <w:r w:rsidRPr="00DA2F93">
        <w:rPr>
          <w:szCs w:val="24"/>
        </w:rPr>
        <w:t xml:space="preserve">. </w:t>
      </w:r>
    </w:p>
    <w:p w14:paraId="417CADB6" w14:textId="250C2518" w:rsidR="006E1AA6" w:rsidRPr="00DA2F93" w:rsidRDefault="006E1AA6" w:rsidP="004D7959">
      <w:pPr>
        <w:shd w:val="clear" w:color="auto" w:fill="FFFFFF" w:themeFill="background1"/>
        <w:jc w:val="both"/>
        <w:rPr>
          <w:color w:val="000000" w:themeColor="text1"/>
          <w:szCs w:val="24"/>
        </w:rPr>
      </w:pPr>
      <w:r w:rsidRPr="00DA2F93">
        <w:rPr>
          <w:szCs w:val="24"/>
        </w:rPr>
        <w:t xml:space="preserve">S’il s’agit d’une facture, le paiement de la facture de </w:t>
      </w:r>
      <w:proofErr w:type="spellStart"/>
      <w:r w:rsidRPr="00DA2F93">
        <w:rPr>
          <w:szCs w:val="24"/>
        </w:rPr>
        <w:t>Bonus Malus</w:t>
      </w:r>
      <w:proofErr w:type="spellEnd"/>
      <w:r w:rsidRPr="00DA2F93">
        <w:rPr>
          <w:szCs w:val="24"/>
        </w:rPr>
        <w:t xml:space="preserve"> et </w:t>
      </w:r>
      <w:r w:rsidR="008514F6" w:rsidRPr="00DA2F93">
        <w:rPr>
          <w:szCs w:val="24"/>
        </w:rPr>
        <w:t>p</w:t>
      </w:r>
      <w:r w:rsidRPr="00DA2F93">
        <w:rPr>
          <w:szCs w:val="24"/>
        </w:rPr>
        <w:t>énalités est dû par l</w:t>
      </w:r>
      <w:r w:rsidR="00673CB8" w:rsidRPr="00DA2F93">
        <w:rPr>
          <w:szCs w:val="24"/>
        </w:rPr>
        <w:t xml:space="preserve">e </w:t>
      </w:r>
      <w:r w:rsidR="00B361C0">
        <w:rPr>
          <w:szCs w:val="24"/>
        </w:rPr>
        <w:t>GRT</w:t>
      </w:r>
      <w:r w:rsidRPr="00DA2F93">
        <w:rPr>
          <w:szCs w:val="24"/>
        </w:rPr>
        <w:t xml:space="preserve"> au </w:t>
      </w:r>
      <w:r w:rsidR="00554628" w:rsidRPr="00DA2F93">
        <w:rPr>
          <w:color w:val="000000" w:themeColor="text1"/>
          <w:szCs w:val="24"/>
        </w:rPr>
        <w:t>Stockeur</w:t>
      </w:r>
      <w:r w:rsidRPr="00DA2F93">
        <w:rPr>
          <w:color w:val="000000" w:themeColor="text1"/>
          <w:szCs w:val="24"/>
        </w:rPr>
        <w:t xml:space="preserve"> 30 jours calendaires </w:t>
      </w:r>
      <w:r w:rsidR="00B00037" w:rsidRPr="00DA2F93">
        <w:rPr>
          <w:color w:val="000000" w:themeColor="text1"/>
        </w:rPr>
        <w:t>après réception de la facture.</w:t>
      </w:r>
    </w:p>
    <w:p w14:paraId="17623AB7" w14:textId="5F2A9844" w:rsidR="009A0687" w:rsidRPr="00DA2F93" w:rsidRDefault="009A0687" w:rsidP="004D7959">
      <w:pPr>
        <w:shd w:val="clear" w:color="auto" w:fill="FFFFFF" w:themeFill="background1"/>
        <w:jc w:val="both"/>
        <w:rPr>
          <w:color w:val="000000" w:themeColor="text1"/>
          <w:szCs w:val="24"/>
        </w:rPr>
      </w:pPr>
    </w:p>
    <w:p w14:paraId="77C1F7C0" w14:textId="06977C84" w:rsidR="00500C15" w:rsidRPr="00DA2F93" w:rsidRDefault="00DF2B0B" w:rsidP="003D32FE">
      <w:pPr>
        <w:spacing w:before="240"/>
        <w:jc w:val="both"/>
        <w:rPr>
          <w:rFonts w:cs="Arial"/>
          <w:color w:val="000000"/>
        </w:rPr>
      </w:pPr>
      <w:r w:rsidRPr="00DA2F93">
        <w:rPr>
          <w:color w:val="000000" w:themeColor="text1"/>
        </w:rPr>
        <w:t xml:space="preserve">A défaut de paiement intégral dans le délai contractuel </w:t>
      </w:r>
      <w:r w:rsidR="005F0239" w:rsidRPr="00DA2F93">
        <w:rPr>
          <w:color w:val="000000" w:themeColor="text1"/>
        </w:rPr>
        <w:t xml:space="preserve">prévu dans le présent article d’une des factures mentionnées </w:t>
      </w:r>
      <w:r w:rsidRPr="00DA2F93">
        <w:rPr>
          <w:color w:val="000000" w:themeColor="text1"/>
        </w:rPr>
        <w:t>ci-dessus, l</w:t>
      </w:r>
      <w:r w:rsidR="00673CB8" w:rsidRPr="00DA2F93">
        <w:rPr>
          <w:color w:val="000000" w:themeColor="text1"/>
        </w:rPr>
        <w:t xml:space="preserve">e </w:t>
      </w:r>
      <w:r w:rsidR="00B361C0">
        <w:rPr>
          <w:color w:val="000000" w:themeColor="text1"/>
        </w:rPr>
        <w:t>GRT</w:t>
      </w:r>
      <w:r w:rsidR="003D32FE" w:rsidRPr="00DA2F93">
        <w:rPr>
          <w:color w:val="000000" w:themeColor="text1"/>
        </w:rPr>
        <w:t xml:space="preserve"> sera </w:t>
      </w:r>
      <w:r w:rsidR="003D32FE" w:rsidRPr="00DA2F93">
        <w:rPr>
          <w:rFonts w:cs="Arial"/>
          <w:color w:val="000000"/>
        </w:rPr>
        <w:t>redevable de plein droit et sans mise en demeure préalable du paiement</w:t>
      </w:r>
      <w:r w:rsidR="00500C15" w:rsidRPr="00DA2F93">
        <w:rPr>
          <w:rFonts w:cs="Arial"/>
          <w:color w:val="000000"/>
        </w:rPr>
        <w:t> :</w:t>
      </w:r>
    </w:p>
    <w:p w14:paraId="674A70B1" w14:textId="77777777" w:rsidR="00235677" w:rsidRPr="00DA2F93" w:rsidRDefault="00500C15" w:rsidP="003D32FE">
      <w:pPr>
        <w:spacing w:before="240"/>
        <w:jc w:val="both"/>
        <w:rPr>
          <w:rFonts w:cs="Arial"/>
          <w:color w:val="000000"/>
        </w:rPr>
      </w:pPr>
      <w:r w:rsidRPr="00DA2F93">
        <w:rPr>
          <w:rFonts w:cs="Arial"/>
          <w:color w:val="000000"/>
        </w:rPr>
        <w:lastRenderedPageBreak/>
        <w:t>-</w:t>
      </w:r>
      <w:r w:rsidR="003D32FE" w:rsidRPr="00DA2F93">
        <w:rPr>
          <w:rFonts w:cs="Arial"/>
          <w:color w:val="000000"/>
        </w:rPr>
        <w:t xml:space="preserve"> de pénalités de r</w:t>
      </w:r>
      <w:r w:rsidR="00B80811" w:rsidRPr="00DA2F93">
        <w:rPr>
          <w:rFonts w:cs="Arial"/>
          <w:color w:val="000000"/>
        </w:rPr>
        <w:t xml:space="preserve">etard calculées sur la base du </w:t>
      </w:r>
      <w:r w:rsidR="003D32FE" w:rsidRPr="00DA2F93">
        <w:rPr>
          <w:rFonts w:cs="Arial"/>
          <w:color w:val="000000"/>
        </w:rPr>
        <w:t>taux d’</w:t>
      </w:r>
      <w:r w:rsidR="00B80811" w:rsidRPr="00DA2F93">
        <w:rPr>
          <w:rFonts w:cs="Arial"/>
          <w:color w:val="000000"/>
        </w:rPr>
        <w:t>intérêt appliqué par la Banque Centrale E</w:t>
      </w:r>
      <w:r w:rsidR="00603AC4" w:rsidRPr="00DA2F93">
        <w:rPr>
          <w:rFonts w:cs="Arial"/>
          <w:color w:val="000000"/>
        </w:rPr>
        <w:t>uropéenne à son opération principale</w:t>
      </w:r>
      <w:r w:rsidR="003D32FE" w:rsidRPr="00DA2F93">
        <w:rPr>
          <w:rFonts w:cs="Arial"/>
          <w:color w:val="000000"/>
        </w:rPr>
        <w:t xml:space="preserve"> </w:t>
      </w:r>
      <w:r w:rsidR="00603AC4" w:rsidRPr="00DA2F93">
        <w:rPr>
          <w:rFonts w:cs="Arial"/>
          <w:color w:val="000000"/>
        </w:rPr>
        <w:t>de refinancement la plus récente majoré de 10 points en pourcentage. Dans ce cas, le taux applicable pendant le premier semestre de l’année concernée est le taux en vigueur au 1</w:t>
      </w:r>
      <w:r w:rsidR="00603AC4" w:rsidRPr="00DA2F93">
        <w:rPr>
          <w:rFonts w:cs="Arial"/>
          <w:color w:val="000000"/>
          <w:vertAlign w:val="superscript"/>
        </w:rPr>
        <w:t>er</w:t>
      </w:r>
      <w:r w:rsidR="00603AC4" w:rsidRPr="00DA2F93">
        <w:rPr>
          <w:rFonts w:cs="Arial"/>
          <w:color w:val="000000"/>
        </w:rPr>
        <w:t xml:space="preserve"> janvier de l’année en question. Pour le second semestre de l’année concernée, il est le taux en vigueur au 1</w:t>
      </w:r>
      <w:r w:rsidR="00603AC4" w:rsidRPr="00DA2F93">
        <w:rPr>
          <w:rFonts w:cs="Arial"/>
          <w:color w:val="000000"/>
          <w:vertAlign w:val="superscript"/>
        </w:rPr>
        <w:t>er</w:t>
      </w:r>
      <w:r w:rsidR="00603AC4" w:rsidRPr="00DA2F93">
        <w:rPr>
          <w:rFonts w:cs="Arial"/>
          <w:color w:val="000000"/>
        </w:rPr>
        <w:t xml:space="preserve"> juillet de l’année en question,</w:t>
      </w:r>
    </w:p>
    <w:p w14:paraId="2DD21E87" w14:textId="77777777" w:rsidR="00500C15" w:rsidRPr="00DA2F93" w:rsidRDefault="00500C15" w:rsidP="00235677">
      <w:pPr>
        <w:spacing w:before="0"/>
        <w:jc w:val="both"/>
        <w:rPr>
          <w:rFonts w:cs="Arial"/>
          <w:color w:val="000000"/>
        </w:rPr>
      </w:pPr>
      <w:proofErr w:type="gramStart"/>
      <w:r w:rsidRPr="00DA2F93">
        <w:rPr>
          <w:rFonts w:cs="Arial"/>
          <w:color w:val="000000"/>
        </w:rPr>
        <w:t>et</w:t>
      </w:r>
      <w:proofErr w:type="gramEnd"/>
    </w:p>
    <w:p w14:paraId="70E9EDEB" w14:textId="0CD8D81D" w:rsidR="00500C15" w:rsidRPr="00DA2F93" w:rsidRDefault="00500C15" w:rsidP="00235677">
      <w:pPr>
        <w:spacing w:before="0"/>
        <w:jc w:val="both"/>
      </w:pPr>
      <w:r w:rsidRPr="00DA2F93">
        <w:t xml:space="preserve">- d’une indemnité forfaitaire pour frais de recouvrement dont le montant est fixé à 40 </w:t>
      </w:r>
      <w:r w:rsidR="003A3709">
        <w:t>Francs CFP</w:t>
      </w:r>
      <w:r w:rsidRPr="00DA2F93">
        <w:t xml:space="preserve"> au jour de la signature du présent </w:t>
      </w:r>
      <w:r w:rsidR="0049441B" w:rsidRPr="00DA2F93">
        <w:t>contrat</w:t>
      </w:r>
      <w:r w:rsidRPr="00DA2F93">
        <w:t>.</w:t>
      </w:r>
    </w:p>
    <w:p w14:paraId="59593825" w14:textId="77777777" w:rsidR="003D32FE" w:rsidRPr="00DA2F93" w:rsidRDefault="00500C15" w:rsidP="003D32FE">
      <w:pPr>
        <w:spacing w:before="240"/>
        <w:jc w:val="both"/>
        <w:rPr>
          <w:rFonts w:cs="Arial"/>
          <w:color w:val="000000"/>
        </w:rPr>
      </w:pPr>
      <w:r w:rsidRPr="00DA2F93">
        <w:rPr>
          <w:rFonts w:cs="Arial"/>
          <w:color w:val="000000"/>
        </w:rPr>
        <w:t>Celles-ci</w:t>
      </w:r>
      <w:r w:rsidR="003D32FE" w:rsidRPr="00DA2F93">
        <w:rPr>
          <w:rFonts w:cs="Arial"/>
          <w:color w:val="000000"/>
        </w:rPr>
        <w:t xml:space="preserve"> seront appliqué</w:t>
      </w:r>
      <w:r w:rsidRPr="00DA2F93">
        <w:rPr>
          <w:rFonts w:cs="Arial"/>
          <w:color w:val="000000"/>
        </w:rPr>
        <w:t>e</w:t>
      </w:r>
      <w:r w:rsidR="003D32FE" w:rsidRPr="00DA2F93">
        <w:rPr>
          <w:rFonts w:cs="Arial"/>
          <w:color w:val="000000"/>
        </w:rPr>
        <w:t xml:space="preserve">s à toute somme </w:t>
      </w:r>
      <w:r w:rsidR="008E2B5C" w:rsidRPr="00DA2F93">
        <w:rPr>
          <w:rFonts w:cs="Arial"/>
          <w:color w:val="000000"/>
        </w:rPr>
        <w:t xml:space="preserve">non contestée </w:t>
      </w:r>
      <w:r w:rsidRPr="00DA2F93">
        <w:t>à compter du jour suivant la date de règlement figurant sur la facture et ce jusqu’au paiement effectif</w:t>
      </w:r>
      <w:r w:rsidR="003D32FE" w:rsidRPr="00DA2F93">
        <w:rPr>
          <w:rFonts w:cs="Arial"/>
          <w:color w:val="000000"/>
        </w:rPr>
        <w:t>.</w:t>
      </w:r>
    </w:p>
    <w:p w14:paraId="4ECBD34F" w14:textId="77777777" w:rsidR="00AD71C4" w:rsidRPr="00DA2F93" w:rsidRDefault="00AD71C4" w:rsidP="000548E3">
      <w:pPr>
        <w:jc w:val="both"/>
        <w:rPr>
          <w:rFonts w:cs="Arial"/>
        </w:rPr>
      </w:pPr>
    </w:p>
    <w:p w14:paraId="7C765ECE" w14:textId="525199FB" w:rsidR="007779BC" w:rsidRPr="00DA2F93" w:rsidRDefault="00DF2B0B" w:rsidP="007779BC">
      <w:pPr>
        <w:jc w:val="both"/>
        <w:rPr>
          <w:rFonts w:cs="Arial"/>
          <w:color w:val="000000" w:themeColor="text1"/>
        </w:rPr>
      </w:pPr>
      <w:r w:rsidRPr="00DA2F93">
        <w:rPr>
          <w:rFonts w:cs="Arial"/>
          <w:color w:val="000000" w:themeColor="text1"/>
        </w:rPr>
        <w:t xml:space="preserve">En cas de désaccord, ou lorsqu’une erreur, omission ou incohérence est décelée sur la facture du </w:t>
      </w:r>
      <w:r w:rsidR="00554628" w:rsidRPr="00DA2F93">
        <w:rPr>
          <w:rFonts w:cs="Arial"/>
          <w:color w:val="000000" w:themeColor="text1"/>
        </w:rPr>
        <w:t>Stockeur</w:t>
      </w:r>
      <w:r w:rsidRPr="00DA2F93">
        <w:rPr>
          <w:rFonts w:cs="Arial"/>
          <w:color w:val="000000" w:themeColor="text1"/>
        </w:rPr>
        <w:t>, celle-ci lui est retournée. L</w:t>
      </w:r>
      <w:r w:rsidR="00673CB8" w:rsidRPr="00DA2F93">
        <w:rPr>
          <w:rFonts w:cs="Arial"/>
          <w:color w:val="000000" w:themeColor="text1"/>
        </w:rPr>
        <w:t xml:space="preserve">e </w:t>
      </w:r>
      <w:r w:rsidR="00B361C0">
        <w:rPr>
          <w:rFonts w:cs="Arial"/>
          <w:color w:val="000000" w:themeColor="text1"/>
        </w:rPr>
        <w:t>GRT</w:t>
      </w:r>
      <w:r w:rsidRPr="00DA2F93">
        <w:rPr>
          <w:rFonts w:cs="Arial"/>
          <w:color w:val="000000" w:themeColor="text1"/>
        </w:rPr>
        <w:t xml:space="preserve"> s’engage toutefois à régler au </w:t>
      </w:r>
      <w:r w:rsidR="00554628" w:rsidRPr="00DA2F93">
        <w:rPr>
          <w:rFonts w:cs="Arial"/>
          <w:color w:val="000000" w:themeColor="text1"/>
        </w:rPr>
        <w:t>Stockeur</w:t>
      </w:r>
      <w:r w:rsidRPr="00DA2F93">
        <w:rPr>
          <w:rFonts w:cs="Arial"/>
          <w:color w:val="000000" w:themeColor="text1"/>
        </w:rPr>
        <w:t xml:space="preserve"> le montant non contesté de cette facture erronée, incomplète ou incohérente, sur présentation d’une nouvelle facture d’un montant égal à ce montant non contesté, dans un délai de 30 jours </w:t>
      </w:r>
      <w:r w:rsidR="00235677" w:rsidRPr="00DA2F93">
        <w:rPr>
          <w:rFonts w:cs="Arial"/>
          <w:color w:val="000000" w:themeColor="text1"/>
        </w:rPr>
        <w:t xml:space="preserve">calendaires </w:t>
      </w:r>
      <w:r w:rsidRPr="00DA2F93">
        <w:rPr>
          <w:rFonts w:cs="Arial"/>
          <w:color w:val="000000" w:themeColor="text1"/>
        </w:rPr>
        <w:t>à compter de la date de réception de cette nouvelle facture. La régularisation éventuelle pour le montant contesté est de même effectuée dans un délai de 30 jours</w:t>
      </w:r>
      <w:r w:rsidR="00235677" w:rsidRPr="00DA2F93">
        <w:rPr>
          <w:rFonts w:cs="Arial"/>
          <w:color w:val="000000" w:themeColor="text1"/>
        </w:rPr>
        <w:t xml:space="preserve"> calendaires</w:t>
      </w:r>
      <w:r w:rsidRPr="00DA2F93">
        <w:rPr>
          <w:rFonts w:cs="Arial"/>
          <w:color w:val="000000" w:themeColor="text1"/>
        </w:rPr>
        <w:t>, sur présentation d'une nouvelle facture, le cachet de la poste faisant foi.</w:t>
      </w:r>
      <w:r w:rsidR="007779BC" w:rsidRPr="00DA2F93">
        <w:rPr>
          <w:rFonts w:cs="Arial"/>
          <w:color w:val="000000" w:themeColor="text1"/>
        </w:rPr>
        <w:t xml:space="preserve"> </w:t>
      </w:r>
    </w:p>
    <w:p w14:paraId="641FEE42" w14:textId="77777777" w:rsidR="00B01164" w:rsidRPr="00DA2F93" w:rsidRDefault="00B01164" w:rsidP="007779BC">
      <w:pPr>
        <w:jc w:val="both"/>
        <w:rPr>
          <w:rFonts w:cs="Arial"/>
          <w:color w:val="000000" w:themeColor="text1"/>
        </w:rPr>
      </w:pPr>
      <w:r w:rsidRPr="00DA2F93">
        <w:rPr>
          <w:rFonts w:cs="Arial"/>
          <w:color w:val="000000" w:themeColor="text1"/>
        </w:rPr>
        <w:t>Si le</w:t>
      </w:r>
      <w:r w:rsidR="007744C6" w:rsidRPr="00DA2F93">
        <w:rPr>
          <w:rFonts w:cs="Arial"/>
          <w:color w:val="000000" w:themeColor="text1"/>
        </w:rPr>
        <w:t xml:space="preserve"> désaccord persiste entre les Parties sur le montant contesté de la facture, les stipulations d</w:t>
      </w:r>
      <w:r w:rsidR="00DE4444" w:rsidRPr="00DA2F93">
        <w:rPr>
          <w:rFonts w:cs="Arial"/>
          <w:color w:val="000000" w:themeColor="text1"/>
        </w:rPr>
        <w:t xml:space="preserve">u </w:t>
      </w:r>
      <w:r w:rsidR="00DE4444" w:rsidRPr="00DA2F93">
        <w:rPr>
          <w:color w:val="000000" w:themeColor="text1"/>
        </w:rPr>
        <w:t>§</w:t>
      </w:r>
      <w:r w:rsidR="007744C6" w:rsidRPr="00DA2F93">
        <w:rPr>
          <w:rFonts w:cs="Arial"/>
          <w:color w:val="000000" w:themeColor="text1"/>
        </w:rPr>
        <w:t xml:space="preserve"> 32 seront appliquées.</w:t>
      </w:r>
    </w:p>
    <w:p w14:paraId="380449B2" w14:textId="77777777" w:rsidR="00054E44" w:rsidRPr="00DA2F93" w:rsidRDefault="00054E44" w:rsidP="00054E44">
      <w:pPr>
        <w:jc w:val="both"/>
        <w:rPr>
          <w:rFonts w:cs="Arial"/>
          <w:color w:val="000000" w:themeColor="text1"/>
        </w:rPr>
      </w:pPr>
    </w:p>
    <w:p w14:paraId="178C04D6" w14:textId="2B7AC694" w:rsidR="00054E44" w:rsidRPr="00DA2F93" w:rsidRDefault="009F116F" w:rsidP="00054E44">
      <w:pPr>
        <w:pStyle w:val="EDFTitre2"/>
      </w:pPr>
      <w:bookmarkStart w:id="354" w:name="_Ref491339271"/>
      <w:bookmarkStart w:id="355" w:name="_Toc108113974"/>
      <w:bookmarkStart w:id="356" w:name="_Toc110436490"/>
      <w:r w:rsidRPr="00DA2F93">
        <w:t xml:space="preserve">Audit </w:t>
      </w:r>
      <w:r w:rsidR="00054E44" w:rsidRPr="00DA2F93">
        <w:t>des charges d’exploitation</w:t>
      </w:r>
      <w:bookmarkEnd w:id="354"/>
      <w:bookmarkEnd w:id="355"/>
      <w:bookmarkEnd w:id="356"/>
    </w:p>
    <w:p w14:paraId="5F30D23F" w14:textId="75E79AF0" w:rsidR="00247F5F" w:rsidRDefault="009F116F" w:rsidP="00C82D8A">
      <w:pPr>
        <w:pStyle w:val="corpsdetexte0"/>
        <w:rPr>
          <w:rFonts w:ascii="Arial" w:hAnsi="Arial"/>
          <w:sz w:val="22"/>
          <w:szCs w:val="22"/>
        </w:rPr>
      </w:pPr>
      <w:r w:rsidRPr="00DA2F93">
        <w:rPr>
          <w:rFonts w:ascii="Arial" w:hAnsi="Arial"/>
          <w:sz w:val="22"/>
          <w:szCs w:val="22"/>
        </w:rPr>
        <w:t>L</w:t>
      </w:r>
      <w:r w:rsidR="00116DA5">
        <w:rPr>
          <w:rFonts w:ascii="Arial" w:hAnsi="Arial"/>
          <w:sz w:val="22"/>
          <w:szCs w:val="22"/>
        </w:rPr>
        <w:t>e service de la Nouvelle-Calédonie compétent en matière d’énergie</w:t>
      </w:r>
      <w:r w:rsidRPr="00DA2F93">
        <w:rPr>
          <w:rFonts w:ascii="Arial" w:hAnsi="Arial"/>
          <w:sz w:val="22"/>
          <w:szCs w:val="22"/>
        </w:rPr>
        <w:t xml:space="preserve"> procède </w:t>
      </w:r>
      <w:r w:rsidR="00FB5312" w:rsidRPr="00DA2F93">
        <w:rPr>
          <w:rFonts w:ascii="Arial" w:hAnsi="Arial"/>
          <w:sz w:val="22"/>
          <w:szCs w:val="22"/>
        </w:rPr>
        <w:t>tous les cinq</w:t>
      </w:r>
      <w:r w:rsidRPr="00DA2F93">
        <w:rPr>
          <w:rFonts w:ascii="Arial" w:hAnsi="Arial"/>
          <w:sz w:val="22"/>
          <w:szCs w:val="22"/>
        </w:rPr>
        <w:t xml:space="preserve"> </w:t>
      </w:r>
      <w:r w:rsidR="00074FE9" w:rsidRPr="00DA2F93">
        <w:rPr>
          <w:rFonts w:ascii="Arial" w:hAnsi="Arial"/>
          <w:sz w:val="22"/>
          <w:szCs w:val="22"/>
        </w:rPr>
        <w:t>ans</w:t>
      </w:r>
      <w:r w:rsidRPr="00DA2F93">
        <w:rPr>
          <w:rFonts w:ascii="Arial" w:hAnsi="Arial"/>
          <w:sz w:val="22"/>
          <w:szCs w:val="22"/>
        </w:rPr>
        <w:t xml:space="preserve"> à une analyse des coûts réels d’exploitation</w:t>
      </w:r>
      <w:r w:rsidR="00247F5F">
        <w:rPr>
          <w:rFonts w:ascii="Arial" w:hAnsi="Arial"/>
          <w:sz w:val="22"/>
          <w:szCs w:val="22"/>
        </w:rPr>
        <w:t xml:space="preserve"> et des recettes réellement perçues</w:t>
      </w:r>
      <w:r w:rsidR="00054E44" w:rsidRPr="00DA2F93">
        <w:rPr>
          <w:rFonts w:ascii="Arial" w:hAnsi="Arial"/>
          <w:sz w:val="22"/>
          <w:szCs w:val="22"/>
        </w:rPr>
        <w:t xml:space="preserve"> sur la base desquels la compensation pourra être ajustée. Le cas échéant, le </w:t>
      </w:r>
      <w:r w:rsidR="00554628" w:rsidRPr="00DA2F93">
        <w:rPr>
          <w:rFonts w:ascii="Arial" w:hAnsi="Arial"/>
          <w:sz w:val="22"/>
          <w:szCs w:val="22"/>
        </w:rPr>
        <w:t>Stockeur</w:t>
      </w:r>
      <w:r w:rsidR="00054E44" w:rsidRPr="00DA2F93">
        <w:rPr>
          <w:rFonts w:ascii="Arial" w:hAnsi="Arial"/>
          <w:sz w:val="22"/>
          <w:szCs w:val="22"/>
        </w:rPr>
        <w:t xml:space="preserve"> et l</w:t>
      </w:r>
      <w:r w:rsidR="00673CB8" w:rsidRPr="00DA2F93">
        <w:rPr>
          <w:rFonts w:ascii="Arial" w:hAnsi="Arial"/>
          <w:sz w:val="22"/>
          <w:szCs w:val="22"/>
        </w:rPr>
        <w:t xml:space="preserve">e </w:t>
      </w:r>
      <w:r w:rsidR="00B361C0">
        <w:rPr>
          <w:rFonts w:ascii="Arial" w:hAnsi="Arial"/>
          <w:sz w:val="22"/>
          <w:szCs w:val="22"/>
        </w:rPr>
        <w:t>GRT</w:t>
      </w:r>
      <w:r w:rsidR="00054E44" w:rsidRPr="00DA2F93">
        <w:rPr>
          <w:rFonts w:ascii="Arial" w:hAnsi="Arial"/>
          <w:sz w:val="22"/>
          <w:szCs w:val="22"/>
        </w:rPr>
        <w:t xml:space="preserve"> établiront un avenant prévoya</w:t>
      </w:r>
      <w:r w:rsidR="00C82D8A" w:rsidRPr="00DA2F93">
        <w:rPr>
          <w:rFonts w:ascii="Arial" w:hAnsi="Arial"/>
          <w:sz w:val="22"/>
          <w:szCs w:val="22"/>
        </w:rPr>
        <w:t xml:space="preserve">nt la révision du PPG en conséquence, selon </w:t>
      </w:r>
      <w:r w:rsidR="00074FE9" w:rsidRPr="00DA2F93">
        <w:rPr>
          <w:rFonts w:ascii="Arial" w:hAnsi="Arial"/>
          <w:sz w:val="22"/>
          <w:szCs w:val="22"/>
        </w:rPr>
        <w:t>l</w:t>
      </w:r>
      <w:r w:rsidR="00074FE9">
        <w:rPr>
          <w:rFonts w:ascii="Arial" w:hAnsi="Arial"/>
          <w:sz w:val="22"/>
          <w:szCs w:val="22"/>
        </w:rPr>
        <w:t>es</w:t>
      </w:r>
      <w:r w:rsidR="00074FE9" w:rsidRPr="00DA2F93">
        <w:rPr>
          <w:rFonts w:ascii="Arial" w:hAnsi="Arial"/>
          <w:sz w:val="22"/>
          <w:szCs w:val="22"/>
        </w:rPr>
        <w:t xml:space="preserve"> </w:t>
      </w:r>
      <w:r w:rsidR="00C82D8A" w:rsidRPr="00DA2F93">
        <w:rPr>
          <w:rFonts w:ascii="Arial" w:hAnsi="Arial"/>
          <w:sz w:val="22"/>
          <w:szCs w:val="22"/>
        </w:rPr>
        <w:t>modalité</w:t>
      </w:r>
      <w:r w:rsidR="00074FE9">
        <w:rPr>
          <w:rFonts w:ascii="Arial" w:hAnsi="Arial"/>
          <w:sz w:val="22"/>
          <w:szCs w:val="22"/>
        </w:rPr>
        <w:t>s</w:t>
      </w:r>
      <w:r w:rsidR="00054E44" w:rsidRPr="00DA2F93">
        <w:rPr>
          <w:rFonts w:ascii="Arial" w:hAnsi="Arial"/>
          <w:sz w:val="22"/>
          <w:szCs w:val="22"/>
        </w:rPr>
        <w:t xml:space="preserve"> suivantes :</w:t>
      </w:r>
      <w:r w:rsidR="00C82D8A" w:rsidRPr="00DA2F93">
        <w:rPr>
          <w:rFonts w:ascii="Arial" w:hAnsi="Arial"/>
          <w:sz w:val="22"/>
          <w:szCs w:val="22"/>
        </w:rPr>
        <w:t xml:space="preserve"> </w:t>
      </w:r>
    </w:p>
    <w:p w14:paraId="051D4FF7" w14:textId="512FD130" w:rsidR="00247F5F" w:rsidRDefault="00247F5F" w:rsidP="00FF1DDE">
      <w:pPr>
        <w:pStyle w:val="corpsdetexte0"/>
        <w:numPr>
          <w:ilvl w:val="0"/>
          <w:numId w:val="27"/>
        </w:numPr>
        <w:rPr>
          <w:rFonts w:ascii="Arial" w:hAnsi="Arial"/>
          <w:sz w:val="22"/>
          <w:szCs w:val="22"/>
        </w:rPr>
      </w:pPr>
      <w:r>
        <w:rPr>
          <w:rFonts w:ascii="Arial" w:hAnsi="Arial"/>
          <w:sz w:val="22"/>
          <w:szCs w:val="22"/>
        </w:rPr>
        <w:t>S</w:t>
      </w:r>
      <w:r w:rsidRPr="00DA2F93">
        <w:rPr>
          <w:rFonts w:ascii="Arial" w:hAnsi="Arial"/>
          <w:sz w:val="22"/>
          <w:szCs w:val="22"/>
        </w:rPr>
        <w:t xml:space="preserve">i </w:t>
      </w:r>
      <w:r w:rsidR="00054E44" w:rsidRPr="00DA2F93">
        <w:rPr>
          <w:rFonts w:ascii="Arial" w:hAnsi="Arial"/>
          <w:sz w:val="22"/>
          <w:szCs w:val="22"/>
        </w:rPr>
        <w:t xml:space="preserve">les coûts </w:t>
      </w:r>
      <w:r w:rsidR="00C82D8A" w:rsidRPr="00DA2F93">
        <w:rPr>
          <w:rFonts w:ascii="Arial" w:hAnsi="Arial"/>
          <w:sz w:val="22"/>
          <w:szCs w:val="22"/>
        </w:rPr>
        <w:t>fixes</w:t>
      </w:r>
      <w:r w:rsidR="00054E44" w:rsidRPr="00DA2F93">
        <w:rPr>
          <w:rFonts w:ascii="Arial" w:hAnsi="Arial"/>
          <w:sz w:val="22"/>
          <w:szCs w:val="22"/>
        </w:rPr>
        <w:t xml:space="preserve"> d’exploitation </w:t>
      </w:r>
      <w:r w:rsidR="000F4F14">
        <w:rPr>
          <w:rFonts w:ascii="Arial" w:hAnsi="Arial"/>
          <w:sz w:val="22"/>
          <w:szCs w:val="22"/>
        </w:rPr>
        <w:t>retenus par l</w:t>
      </w:r>
      <w:r w:rsidR="00116DA5">
        <w:rPr>
          <w:rFonts w:ascii="Arial" w:hAnsi="Arial"/>
          <w:sz w:val="22"/>
          <w:szCs w:val="22"/>
        </w:rPr>
        <w:t>e service de la Nouvelle-Calédonie compétent en matière d’énergie</w:t>
      </w:r>
      <w:r w:rsidR="000F4F14">
        <w:rPr>
          <w:rFonts w:ascii="Arial" w:hAnsi="Arial"/>
          <w:sz w:val="22"/>
          <w:szCs w:val="22"/>
        </w:rPr>
        <w:t xml:space="preserve"> à l’issue de l’audit</w:t>
      </w:r>
      <w:r w:rsidR="000F4F14" w:rsidRPr="00DA2F93">
        <w:rPr>
          <w:rFonts w:ascii="Arial" w:hAnsi="Arial"/>
          <w:sz w:val="22"/>
          <w:szCs w:val="22"/>
        </w:rPr>
        <w:t xml:space="preserve"> </w:t>
      </w:r>
      <w:r w:rsidR="00054E44" w:rsidRPr="00DA2F93">
        <w:rPr>
          <w:rFonts w:ascii="Arial" w:hAnsi="Arial"/>
          <w:sz w:val="22"/>
          <w:szCs w:val="22"/>
        </w:rPr>
        <w:t>sont inférieurs aux coûts f</w:t>
      </w:r>
      <w:r w:rsidR="00C82D8A" w:rsidRPr="00DA2F93">
        <w:rPr>
          <w:rFonts w:ascii="Arial" w:hAnsi="Arial"/>
          <w:sz w:val="22"/>
          <w:szCs w:val="22"/>
        </w:rPr>
        <w:t xml:space="preserve">ixes </w:t>
      </w:r>
      <w:r w:rsidR="00054E44" w:rsidRPr="00DA2F93">
        <w:rPr>
          <w:rFonts w:ascii="Arial" w:hAnsi="Arial"/>
          <w:sz w:val="22"/>
          <w:szCs w:val="22"/>
        </w:rPr>
        <w:t>d’exploitation de référence pris en compte pour le calcu</w:t>
      </w:r>
      <w:r w:rsidR="00C82D8A" w:rsidRPr="00DA2F93">
        <w:rPr>
          <w:rFonts w:ascii="Arial" w:hAnsi="Arial"/>
          <w:sz w:val="22"/>
          <w:szCs w:val="22"/>
        </w:rPr>
        <w:t>l de la PPG</w:t>
      </w:r>
      <w:r w:rsidR="00054E44" w:rsidRPr="00DA2F93">
        <w:rPr>
          <w:rFonts w:ascii="Arial" w:hAnsi="Arial"/>
          <w:sz w:val="22"/>
          <w:szCs w:val="22"/>
        </w:rPr>
        <w:t xml:space="preserve">, le </w:t>
      </w:r>
      <w:r w:rsidR="00554628" w:rsidRPr="00DA2F93">
        <w:rPr>
          <w:rFonts w:ascii="Arial" w:hAnsi="Arial"/>
          <w:sz w:val="22"/>
          <w:szCs w:val="22"/>
        </w:rPr>
        <w:t>Stockeur</w:t>
      </w:r>
      <w:r w:rsidR="00054E44" w:rsidRPr="00DA2F93">
        <w:rPr>
          <w:rFonts w:ascii="Arial" w:hAnsi="Arial"/>
          <w:sz w:val="22"/>
          <w:szCs w:val="22"/>
        </w:rPr>
        <w:t xml:space="preserve"> et l</w:t>
      </w:r>
      <w:r w:rsidR="00673CB8" w:rsidRPr="00DA2F93">
        <w:rPr>
          <w:rFonts w:ascii="Arial" w:hAnsi="Arial"/>
          <w:sz w:val="22"/>
          <w:szCs w:val="22"/>
        </w:rPr>
        <w:t xml:space="preserve">e </w:t>
      </w:r>
      <w:r w:rsidR="00B361C0">
        <w:rPr>
          <w:rFonts w:ascii="Arial" w:hAnsi="Arial"/>
          <w:sz w:val="22"/>
          <w:szCs w:val="22"/>
        </w:rPr>
        <w:t>GRT</w:t>
      </w:r>
      <w:r w:rsidR="00054E44" w:rsidRPr="00DA2F93">
        <w:rPr>
          <w:rFonts w:ascii="Arial" w:hAnsi="Arial"/>
          <w:sz w:val="22"/>
          <w:szCs w:val="22"/>
        </w:rPr>
        <w:t xml:space="preserve"> établiront un </w:t>
      </w:r>
      <w:r w:rsidR="00980173" w:rsidRPr="00DA2F93">
        <w:rPr>
          <w:rFonts w:ascii="Arial" w:hAnsi="Arial"/>
          <w:sz w:val="22"/>
          <w:szCs w:val="22"/>
        </w:rPr>
        <w:t>avenant prévoyant la révision de la</w:t>
      </w:r>
      <w:r w:rsidR="00C82D8A" w:rsidRPr="00DA2F93">
        <w:rPr>
          <w:rFonts w:ascii="Arial" w:hAnsi="Arial"/>
          <w:sz w:val="22"/>
          <w:szCs w:val="22"/>
        </w:rPr>
        <w:t xml:space="preserve"> PPG</w:t>
      </w:r>
      <w:r w:rsidR="00054E44" w:rsidRPr="00DA2F93">
        <w:rPr>
          <w:rFonts w:ascii="Arial" w:hAnsi="Arial"/>
          <w:sz w:val="22"/>
          <w:szCs w:val="22"/>
        </w:rPr>
        <w:t xml:space="preserve"> à la </w:t>
      </w:r>
      <w:r w:rsidR="000E1F48">
        <w:rPr>
          <w:rFonts w:ascii="Arial" w:hAnsi="Arial"/>
          <w:sz w:val="22"/>
          <w:szCs w:val="22"/>
        </w:rPr>
        <w:tab/>
      </w:r>
      <w:r w:rsidR="00054E44" w:rsidRPr="00DA2F93">
        <w:rPr>
          <w:rFonts w:ascii="Arial" w:hAnsi="Arial"/>
          <w:sz w:val="22"/>
          <w:szCs w:val="22"/>
        </w:rPr>
        <w:t>baisse à due concurrence de la différence.</w:t>
      </w:r>
      <w:r w:rsidRPr="00247F5F">
        <w:rPr>
          <w:rFonts w:ascii="Arial" w:hAnsi="Arial"/>
          <w:sz w:val="22"/>
          <w:szCs w:val="22"/>
        </w:rPr>
        <w:t xml:space="preserve"> </w:t>
      </w:r>
      <w:r w:rsidRPr="00DA2F93">
        <w:rPr>
          <w:rFonts w:ascii="Arial" w:hAnsi="Arial"/>
          <w:sz w:val="22"/>
          <w:szCs w:val="22"/>
        </w:rPr>
        <w:t xml:space="preserve">Dans le cas contraire, la </w:t>
      </w:r>
      <w:r>
        <w:rPr>
          <w:rFonts w:ascii="Arial" w:hAnsi="Arial"/>
          <w:sz w:val="22"/>
          <w:szCs w:val="22"/>
        </w:rPr>
        <w:t>compensation (part fixe ou variable) n’est pas révisée</w:t>
      </w:r>
      <w:r w:rsidR="00074FE9">
        <w:rPr>
          <w:rFonts w:ascii="Arial" w:hAnsi="Arial"/>
          <w:sz w:val="22"/>
          <w:szCs w:val="22"/>
        </w:rPr>
        <w:t xml:space="preserve"> sur la base des </w:t>
      </w:r>
      <w:r w:rsidR="00397D6F">
        <w:rPr>
          <w:rFonts w:ascii="Arial" w:hAnsi="Arial"/>
          <w:sz w:val="22"/>
          <w:szCs w:val="22"/>
        </w:rPr>
        <w:t xml:space="preserve">nouveaux </w:t>
      </w:r>
      <w:r w:rsidR="00074FE9">
        <w:rPr>
          <w:rFonts w:ascii="Arial" w:hAnsi="Arial"/>
          <w:sz w:val="22"/>
          <w:szCs w:val="22"/>
        </w:rPr>
        <w:t>coûts</w:t>
      </w:r>
      <w:r>
        <w:rPr>
          <w:rFonts w:ascii="Arial" w:hAnsi="Arial"/>
          <w:sz w:val="22"/>
          <w:szCs w:val="22"/>
        </w:rPr>
        <w:t xml:space="preserve">. </w:t>
      </w:r>
    </w:p>
    <w:p w14:paraId="31CA9653" w14:textId="443DCB3D" w:rsidR="00397D6F" w:rsidRDefault="00247F5F" w:rsidP="00FF1DDE">
      <w:pPr>
        <w:pStyle w:val="corpsdetexte0"/>
        <w:numPr>
          <w:ilvl w:val="0"/>
          <w:numId w:val="27"/>
        </w:numPr>
        <w:rPr>
          <w:rFonts w:ascii="Arial" w:hAnsi="Arial"/>
          <w:sz w:val="22"/>
          <w:szCs w:val="22"/>
        </w:rPr>
      </w:pPr>
      <w:r>
        <w:rPr>
          <w:rFonts w:ascii="Arial" w:hAnsi="Arial"/>
          <w:sz w:val="22"/>
          <w:szCs w:val="22"/>
        </w:rPr>
        <w:t>De même si les recettes réellement perçues sont supérieures aux recettes prévisionnelles, la compensation (part fixe ou variable) sera revue à la baisse à due concurrence de la différence.</w:t>
      </w:r>
      <w:r w:rsidR="00397D6F">
        <w:rPr>
          <w:rFonts w:ascii="Arial" w:hAnsi="Arial"/>
          <w:sz w:val="22"/>
          <w:szCs w:val="22"/>
        </w:rPr>
        <w:t xml:space="preserve"> Dans le cas contraire la compensation (part fixe ou variable) n’est pas révisée sur la base des nouvelles recettes.</w:t>
      </w:r>
    </w:p>
    <w:p w14:paraId="71A2510B" w14:textId="3278FCC6" w:rsidR="00054E44" w:rsidRDefault="00397D6F" w:rsidP="00FF1DDE">
      <w:pPr>
        <w:pStyle w:val="corpsdetexte0"/>
        <w:numPr>
          <w:ilvl w:val="0"/>
          <w:numId w:val="27"/>
        </w:numPr>
        <w:rPr>
          <w:rFonts w:ascii="Arial" w:hAnsi="Arial"/>
          <w:sz w:val="22"/>
          <w:szCs w:val="22"/>
        </w:rPr>
      </w:pPr>
      <w:r>
        <w:rPr>
          <w:rFonts w:ascii="Arial" w:hAnsi="Arial"/>
          <w:sz w:val="22"/>
          <w:szCs w:val="22"/>
        </w:rPr>
        <w:t>Si la</w:t>
      </w:r>
      <w:r w:rsidR="00054E44" w:rsidRPr="00DA2F93">
        <w:rPr>
          <w:rFonts w:ascii="Arial" w:hAnsi="Arial"/>
          <w:sz w:val="22"/>
          <w:szCs w:val="22"/>
        </w:rPr>
        <w:t xml:space="preserve"> </w:t>
      </w:r>
      <w:r w:rsidR="00247F5F">
        <w:rPr>
          <w:rFonts w:ascii="Arial" w:hAnsi="Arial"/>
          <w:sz w:val="22"/>
          <w:szCs w:val="22"/>
        </w:rPr>
        <w:t>clause de sauvegarde s’applique (</w:t>
      </w:r>
      <w:proofErr w:type="spellStart"/>
      <w:r w:rsidR="00247F5F">
        <w:rPr>
          <w:rFonts w:ascii="Arial" w:hAnsi="Arial"/>
          <w:sz w:val="22"/>
          <w:szCs w:val="22"/>
        </w:rPr>
        <w:t>cf</w:t>
      </w:r>
      <w:proofErr w:type="spellEnd"/>
      <w:r w:rsidR="00247F5F">
        <w:rPr>
          <w:rFonts w:ascii="Arial" w:hAnsi="Arial"/>
          <w:sz w:val="22"/>
          <w:szCs w:val="22"/>
        </w:rPr>
        <w:t xml:space="preserve"> §</w:t>
      </w:r>
      <w:r w:rsidR="00247F5F">
        <w:rPr>
          <w:rFonts w:ascii="Arial" w:hAnsi="Arial"/>
          <w:sz w:val="22"/>
          <w:szCs w:val="22"/>
        </w:rPr>
        <w:fldChar w:fldCharType="begin"/>
      </w:r>
      <w:r w:rsidR="00247F5F">
        <w:rPr>
          <w:rFonts w:ascii="Arial" w:hAnsi="Arial"/>
          <w:sz w:val="22"/>
          <w:szCs w:val="22"/>
        </w:rPr>
        <w:instrText xml:space="preserve"> REF _Ref378325281 \r \h </w:instrText>
      </w:r>
      <w:r w:rsidR="00247F5F">
        <w:rPr>
          <w:rFonts w:ascii="Arial" w:hAnsi="Arial"/>
          <w:sz w:val="22"/>
          <w:szCs w:val="22"/>
        </w:rPr>
      </w:r>
      <w:r w:rsidR="00247F5F">
        <w:rPr>
          <w:rFonts w:ascii="Arial" w:hAnsi="Arial"/>
          <w:sz w:val="22"/>
          <w:szCs w:val="22"/>
        </w:rPr>
        <w:fldChar w:fldCharType="separate"/>
      </w:r>
      <w:r w:rsidR="0042414D">
        <w:rPr>
          <w:rFonts w:ascii="Arial" w:hAnsi="Arial"/>
          <w:sz w:val="22"/>
          <w:szCs w:val="22"/>
        </w:rPr>
        <w:t>27</w:t>
      </w:r>
      <w:r w:rsidR="00247F5F">
        <w:rPr>
          <w:rFonts w:ascii="Arial" w:hAnsi="Arial"/>
          <w:sz w:val="22"/>
          <w:szCs w:val="22"/>
        </w:rPr>
        <w:fldChar w:fldCharType="end"/>
      </w:r>
      <w:r w:rsidR="00247F5F">
        <w:rPr>
          <w:rFonts w:ascii="Arial" w:hAnsi="Arial"/>
          <w:sz w:val="22"/>
          <w:szCs w:val="22"/>
        </w:rPr>
        <w:t>), l’audit pourra mener à une révision de la compensation (part fixe ou variable)</w:t>
      </w:r>
      <w:r w:rsidR="00247F5F" w:rsidRPr="00DA2F93">
        <w:rPr>
          <w:rFonts w:ascii="Arial" w:hAnsi="Arial"/>
          <w:sz w:val="22"/>
          <w:szCs w:val="22"/>
        </w:rPr>
        <w:t>.</w:t>
      </w:r>
    </w:p>
    <w:p w14:paraId="7B0C01E3" w14:textId="77777777" w:rsidR="00054E44" w:rsidRPr="00DA2F93" w:rsidRDefault="00054E44" w:rsidP="00054E44">
      <w:pPr>
        <w:pStyle w:val="corpsdetexte0"/>
        <w:rPr>
          <w:rFonts w:ascii="Arial" w:hAnsi="Arial"/>
          <w:sz w:val="22"/>
          <w:szCs w:val="22"/>
        </w:rPr>
      </w:pPr>
      <w:r w:rsidRPr="00DA2F93">
        <w:rPr>
          <w:rFonts w:ascii="Arial" w:hAnsi="Arial"/>
          <w:sz w:val="22"/>
          <w:szCs w:val="22"/>
        </w:rPr>
        <w:t>Les contrats passés avec les sous-traitants et fou</w:t>
      </w:r>
      <w:r w:rsidR="00C82D8A" w:rsidRPr="00DA2F93">
        <w:rPr>
          <w:rFonts w:ascii="Arial" w:hAnsi="Arial"/>
          <w:sz w:val="22"/>
          <w:szCs w:val="22"/>
        </w:rPr>
        <w:t xml:space="preserve">rnisseurs du </w:t>
      </w:r>
      <w:r w:rsidR="00554628" w:rsidRPr="00DA2F93">
        <w:rPr>
          <w:rFonts w:ascii="Arial" w:hAnsi="Arial"/>
          <w:sz w:val="22"/>
          <w:szCs w:val="22"/>
        </w:rPr>
        <w:t>Stockeur</w:t>
      </w:r>
      <w:r w:rsidR="00C82D8A" w:rsidRPr="00DA2F93">
        <w:rPr>
          <w:rFonts w:ascii="Arial" w:hAnsi="Arial"/>
          <w:sz w:val="22"/>
          <w:szCs w:val="22"/>
        </w:rPr>
        <w:t xml:space="preserve"> </w:t>
      </w:r>
      <w:r w:rsidRPr="00DA2F93">
        <w:rPr>
          <w:rFonts w:ascii="Arial" w:hAnsi="Arial"/>
          <w:sz w:val="22"/>
          <w:szCs w:val="22"/>
        </w:rPr>
        <w:t>ne devront pas faire obstacle à la transmission de l’ensemble des données permettant l’analyse de l’ensemble des coûts qu’ils supportent et des recettes qu’ils perçoivent.</w:t>
      </w:r>
    </w:p>
    <w:p w14:paraId="16B15B14" w14:textId="630E0BCD" w:rsidR="00054E44" w:rsidRDefault="00054E44" w:rsidP="00054E44">
      <w:pPr>
        <w:jc w:val="both"/>
        <w:rPr>
          <w:rFonts w:eastAsia="Cambria" w:cs="Arial"/>
          <w:szCs w:val="20"/>
          <w:lang w:eastAsia="ar-SA"/>
        </w:rPr>
      </w:pPr>
      <w:r w:rsidRPr="00DA2F93">
        <w:t>L</w:t>
      </w:r>
      <w:r w:rsidR="00116DA5">
        <w:t>e service de la Nouvelle-Calédonie compétent en matière d’énergie</w:t>
      </w:r>
      <w:r w:rsidR="00980173" w:rsidRPr="00DA2F93">
        <w:t xml:space="preserve"> sera saisi de l</w:t>
      </w:r>
      <w:r w:rsidRPr="00DA2F93">
        <w:t>’avenant susmentionné au plus tard dans un délai de quatre mois à compter de la notification par l</w:t>
      </w:r>
      <w:r w:rsidR="00116DA5">
        <w:t>e service de la Nouvelle-Calédonie compétent en matière d’énergie</w:t>
      </w:r>
      <w:r w:rsidR="00351D04">
        <w:t xml:space="preserve"> </w:t>
      </w:r>
      <w:r w:rsidRPr="00DA2F93">
        <w:t xml:space="preserve">du résultat des audits au </w:t>
      </w:r>
      <w:r w:rsidR="00554628" w:rsidRPr="00DA2F93">
        <w:t>Stockeur</w:t>
      </w:r>
      <w:r w:rsidRPr="00DA2F93">
        <w:t xml:space="preserve"> et </w:t>
      </w:r>
      <w:r w:rsidR="00673CB8" w:rsidRPr="00DA2F93">
        <w:t xml:space="preserve">au </w:t>
      </w:r>
      <w:r w:rsidR="00B361C0">
        <w:t>GRT</w:t>
      </w:r>
      <w:r w:rsidRPr="00DA2F93">
        <w:t xml:space="preserve">. </w:t>
      </w:r>
      <w:r w:rsidRPr="00DA2F93">
        <w:rPr>
          <w:lang w:eastAsia="ar-SA"/>
        </w:rPr>
        <w:t>L</w:t>
      </w:r>
      <w:r w:rsidR="00C82D8A" w:rsidRPr="00DA2F93">
        <w:rPr>
          <w:rFonts w:eastAsia="Cambria" w:cs="Arial"/>
          <w:szCs w:val="20"/>
          <w:lang w:eastAsia="ar-SA"/>
        </w:rPr>
        <w:t xml:space="preserve">a révision de la PPG </w:t>
      </w:r>
      <w:r w:rsidRPr="00DA2F93">
        <w:rPr>
          <w:rFonts w:eastAsia="Cambria" w:cs="Arial"/>
          <w:szCs w:val="20"/>
          <w:lang w:eastAsia="ar-SA"/>
        </w:rPr>
        <w:t>ne peut pas être rétroactive.</w:t>
      </w:r>
    </w:p>
    <w:p w14:paraId="2BED93FD" w14:textId="77777777" w:rsidR="009C4D09" w:rsidRPr="00DA2F93" w:rsidRDefault="009C4D09" w:rsidP="000548E3">
      <w:pPr>
        <w:pStyle w:val="EDFTitre1"/>
        <w:jc w:val="both"/>
      </w:pPr>
      <w:bookmarkStart w:id="357" w:name="_Toc388896098"/>
      <w:bookmarkStart w:id="358" w:name="_Toc108113975"/>
      <w:bookmarkStart w:id="359" w:name="_Toc110436491"/>
      <w:r w:rsidRPr="00DA2F93">
        <w:t>Impôts et taxes</w:t>
      </w:r>
      <w:bookmarkEnd w:id="357"/>
      <w:bookmarkEnd w:id="358"/>
      <w:bookmarkEnd w:id="359"/>
    </w:p>
    <w:p w14:paraId="54532009" w14:textId="6CA6FB9D" w:rsidR="00B85137" w:rsidRPr="00DA2F93" w:rsidRDefault="00B85137" w:rsidP="00B85137">
      <w:pPr>
        <w:autoSpaceDE w:val="0"/>
        <w:autoSpaceDN w:val="0"/>
        <w:adjustRightInd w:val="0"/>
        <w:jc w:val="both"/>
        <w:rPr>
          <w:rFonts w:cs="Arial"/>
          <w:color w:val="000000" w:themeColor="text1"/>
        </w:rPr>
      </w:pPr>
      <w:r w:rsidRPr="00DA2F93">
        <w:rPr>
          <w:rFonts w:cs="Arial"/>
          <w:color w:val="000000" w:themeColor="text1"/>
        </w:rPr>
        <w:t xml:space="preserve">Sauf mention spécifique, </w:t>
      </w:r>
      <w:r w:rsidRPr="00DA2F93">
        <w:rPr>
          <w:rFonts w:cs="Arial"/>
          <w:b/>
          <w:color w:val="000000" w:themeColor="text1"/>
        </w:rPr>
        <w:t xml:space="preserve">les prix stipulés au présent Contrat et leurs </w:t>
      </w:r>
      <w:r w:rsidR="00387522" w:rsidRPr="00DA2F93">
        <w:rPr>
          <w:rFonts w:cs="Arial"/>
          <w:b/>
          <w:color w:val="000000" w:themeColor="text1"/>
        </w:rPr>
        <w:t>composantes</w:t>
      </w:r>
      <w:r w:rsidRPr="00DA2F93">
        <w:rPr>
          <w:rFonts w:cs="Arial"/>
          <w:b/>
          <w:color w:val="000000" w:themeColor="text1"/>
        </w:rPr>
        <w:t xml:space="preserve"> sont des prix hors taxes, notamment hors </w:t>
      </w:r>
      <w:r w:rsidR="00116DA5" w:rsidRPr="00DA2F93">
        <w:rPr>
          <w:rFonts w:cs="Arial"/>
          <w:b/>
          <w:color w:val="000000" w:themeColor="text1"/>
        </w:rPr>
        <w:t>T</w:t>
      </w:r>
      <w:r w:rsidR="00116DA5">
        <w:rPr>
          <w:rFonts w:cs="Arial"/>
          <w:b/>
          <w:color w:val="000000" w:themeColor="text1"/>
        </w:rPr>
        <w:t>GC</w:t>
      </w:r>
      <w:r w:rsidR="00116DA5" w:rsidRPr="00DA2F93">
        <w:rPr>
          <w:rFonts w:cs="Arial"/>
          <w:b/>
          <w:color w:val="000000" w:themeColor="text1"/>
        </w:rPr>
        <w:t xml:space="preserve"> </w:t>
      </w:r>
      <w:r w:rsidRPr="00DA2F93">
        <w:rPr>
          <w:rFonts w:cs="Arial"/>
          <w:b/>
          <w:color w:val="000000" w:themeColor="text1"/>
        </w:rPr>
        <w:t xml:space="preserve">et hors </w:t>
      </w:r>
      <w:r w:rsidR="00EA3249">
        <w:rPr>
          <w:rFonts w:cs="Arial"/>
          <w:b/>
          <w:color w:val="000000" w:themeColor="text1"/>
        </w:rPr>
        <w:t>droits de douane</w:t>
      </w:r>
      <w:r w:rsidRPr="00DA2F93">
        <w:rPr>
          <w:rFonts w:cs="Arial"/>
          <w:color w:val="000000" w:themeColor="text1"/>
        </w:rPr>
        <w:t xml:space="preserve">. </w:t>
      </w:r>
    </w:p>
    <w:p w14:paraId="1400CBEB" w14:textId="77777777" w:rsidR="00B85137" w:rsidRPr="00DA2F93" w:rsidRDefault="00B85137" w:rsidP="00B85137">
      <w:pPr>
        <w:autoSpaceDE w:val="0"/>
        <w:autoSpaceDN w:val="0"/>
        <w:adjustRightInd w:val="0"/>
        <w:jc w:val="both"/>
        <w:rPr>
          <w:rFonts w:cs="Arial"/>
          <w:color w:val="000000" w:themeColor="text1"/>
        </w:rPr>
      </w:pPr>
      <w:r w:rsidRPr="00DA2F93">
        <w:rPr>
          <w:rFonts w:cs="Arial"/>
          <w:color w:val="000000" w:themeColor="text1"/>
        </w:rPr>
        <w:lastRenderedPageBreak/>
        <w:t>Ils seront majorés des montants de :</w:t>
      </w:r>
    </w:p>
    <w:p w14:paraId="7D9BB741" w14:textId="5D0FACF2" w:rsidR="00B85137" w:rsidRPr="00DA2F93" w:rsidRDefault="00B85137" w:rsidP="008544B3">
      <w:pPr>
        <w:pStyle w:val="Paragraphedeliste"/>
        <w:numPr>
          <w:ilvl w:val="0"/>
          <w:numId w:val="6"/>
        </w:numPr>
        <w:autoSpaceDE w:val="0"/>
        <w:autoSpaceDN w:val="0"/>
        <w:adjustRightInd w:val="0"/>
        <w:jc w:val="both"/>
        <w:rPr>
          <w:rFonts w:cs="Arial"/>
          <w:color w:val="000000" w:themeColor="text1"/>
        </w:rPr>
      </w:pPr>
      <w:r w:rsidRPr="00DA2F93">
        <w:rPr>
          <w:rFonts w:cs="Arial"/>
          <w:color w:val="000000" w:themeColor="text1"/>
        </w:rPr>
        <w:t xml:space="preserve">la </w:t>
      </w:r>
      <w:r w:rsidR="00116DA5" w:rsidRPr="00DA2F93">
        <w:rPr>
          <w:rFonts w:cs="Arial"/>
          <w:color w:val="000000" w:themeColor="text1"/>
        </w:rPr>
        <w:t>T</w:t>
      </w:r>
      <w:r w:rsidR="00116DA5">
        <w:rPr>
          <w:rFonts w:cs="Arial"/>
          <w:color w:val="000000" w:themeColor="text1"/>
        </w:rPr>
        <w:t>GC</w:t>
      </w:r>
      <w:r w:rsidR="00116DA5" w:rsidRPr="00DA2F93">
        <w:rPr>
          <w:rFonts w:cs="Arial"/>
          <w:color w:val="000000" w:themeColor="text1"/>
        </w:rPr>
        <w:t xml:space="preserve"> </w:t>
      </w:r>
      <w:r w:rsidRPr="00DA2F93">
        <w:rPr>
          <w:rFonts w:cs="Arial"/>
          <w:color w:val="000000" w:themeColor="text1"/>
        </w:rPr>
        <w:t>frappant la présente fourniture ;</w:t>
      </w:r>
    </w:p>
    <w:p w14:paraId="59D2445A" w14:textId="3D6AA3F2" w:rsidR="00B85137" w:rsidRPr="00DA2F93" w:rsidRDefault="00EA3249" w:rsidP="008544B3">
      <w:pPr>
        <w:pStyle w:val="Paragraphedeliste"/>
        <w:numPr>
          <w:ilvl w:val="0"/>
          <w:numId w:val="6"/>
        </w:numPr>
        <w:autoSpaceDE w:val="0"/>
        <w:autoSpaceDN w:val="0"/>
        <w:adjustRightInd w:val="0"/>
        <w:jc w:val="both"/>
        <w:rPr>
          <w:rFonts w:cs="Arial"/>
          <w:color w:val="000000" w:themeColor="text1"/>
        </w:rPr>
      </w:pPr>
      <w:r>
        <w:rPr>
          <w:rFonts w:cs="Arial"/>
          <w:color w:val="000000" w:themeColor="text1"/>
        </w:rPr>
        <w:t>droits de douane</w:t>
      </w:r>
      <w:r w:rsidR="00B85137" w:rsidRPr="00DA2F93">
        <w:rPr>
          <w:rFonts w:cs="Arial"/>
          <w:color w:val="000000" w:themeColor="text1"/>
        </w:rPr>
        <w:t> selon les modalités ci-dessous ;</w:t>
      </w:r>
    </w:p>
    <w:p w14:paraId="729527C1" w14:textId="77777777" w:rsidR="00B85137" w:rsidRPr="00DA2F93" w:rsidRDefault="00B85137" w:rsidP="008544B3">
      <w:pPr>
        <w:pStyle w:val="Paragraphedeliste"/>
        <w:numPr>
          <w:ilvl w:val="0"/>
          <w:numId w:val="6"/>
        </w:numPr>
        <w:autoSpaceDE w:val="0"/>
        <w:autoSpaceDN w:val="0"/>
        <w:adjustRightInd w:val="0"/>
        <w:jc w:val="both"/>
        <w:rPr>
          <w:rFonts w:cs="Arial"/>
          <w:color w:val="000000" w:themeColor="text1"/>
        </w:rPr>
      </w:pPr>
      <w:r w:rsidRPr="00DA2F93">
        <w:rPr>
          <w:rFonts w:cs="Arial"/>
          <w:color w:val="000000" w:themeColor="text1"/>
        </w:rPr>
        <w:t xml:space="preserve">toute autre taxe applicable au </w:t>
      </w:r>
      <w:r w:rsidR="00554628" w:rsidRPr="00DA2F93">
        <w:rPr>
          <w:rFonts w:cs="Arial"/>
          <w:color w:val="000000" w:themeColor="text1"/>
        </w:rPr>
        <w:t>Stockeur</w:t>
      </w:r>
      <w:r w:rsidRPr="00DA2F93">
        <w:rPr>
          <w:rFonts w:cs="Arial"/>
          <w:color w:val="000000" w:themeColor="text1"/>
        </w:rPr>
        <w:t xml:space="preserve"> en lien avec l’exécution du présent Contrat.</w:t>
      </w:r>
    </w:p>
    <w:p w14:paraId="5F230901" w14:textId="57FE9FF2" w:rsidR="00B85137" w:rsidRPr="00DA2F93" w:rsidRDefault="00B85137" w:rsidP="00B85137">
      <w:pPr>
        <w:autoSpaceDE w:val="0"/>
        <w:autoSpaceDN w:val="0"/>
        <w:adjustRightInd w:val="0"/>
        <w:ind w:left="1"/>
        <w:jc w:val="both"/>
        <w:rPr>
          <w:rFonts w:cs="Arial"/>
          <w:color w:val="000000" w:themeColor="text1"/>
        </w:rPr>
      </w:pPr>
      <w:r w:rsidRPr="00DA2F93">
        <w:rPr>
          <w:rFonts w:cs="Arial"/>
          <w:color w:val="000000" w:themeColor="text1"/>
        </w:rPr>
        <w:t xml:space="preserve">Ceux-ci seront répercutés </w:t>
      </w:r>
      <w:r w:rsidR="00673CB8" w:rsidRPr="00DA2F93">
        <w:rPr>
          <w:rFonts w:cs="Arial"/>
          <w:color w:val="000000" w:themeColor="text1"/>
        </w:rPr>
        <w:t xml:space="preserve">au </w:t>
      </w:r>
      <w:r w:rsidR="00B361C0">
        <w:rPr>
          <w:rFonts w:cs="Arial"/>
          <w:color w:val="000000" w:themeColor="text1"/>
        </w:rPr>
        <w:t>GRT</w:t>
      </w:r>
      <w:r w:rsidRPr="00DA2F93">
        <w:rPr>
          <w:rFonts w:cs="Arial"/>
          <w:color w:val="000000" w:themeColor="text1"/>
        </w:rPr>
        <w:t xml:space="preserve"> via la facturation </w:t>
      </w:r>
      <w:r w:rsidR="00577143" w:rsidRPr="00DA2F93">
        <w:rPr>
          <w:rFonts w:cs="Arial"/>
          <w:color w:val="000000" w:themeColor="text1"/>
        </w:rPr>
        <w:t xml:space="preserve">annuelle </w:t>
      </w:r>
      <w:r w:rsidR="00FF0E25" w:rsidRPr="00DA2F93">
        <w:rPr>
          <w:rFonts w:cs="Arial"/>
          <w:color w:val="000000" w:themeColor="text1"/>
        </w:rPr>
        <w:t>d</w:t>
      </w:r>
      <w:r w:rsidR="00FF0E25">
        <w:rPr>
          <w:rFonts w:cs="Arial"/>
          <w:color w:val="000000" w:themeColor="text1"/>
        </w:rPr>
        <w:t>e la</w:t>
      </w:r>
      <w:r w:rsidR="00FF0E25" w:rsidRPr="00DA2F93">
        <w:rPr>
          <w:rFonts w:cs="Arial"/>
          <w:color w:val="000000" w:themeColor="text1"/>
        </w:rPr>
        <w:t xml:space="preserve"> </w:t>
      </w:r>
      <w:r w:rsidR="00FF0E25">
        <w:rPr>
          <w:rFonts w:cs="Arial"/>
          <w:color w:val="000000" w:themeColor="text1"/>
        </w:rPr>
        <w:t>Prime de coûts variables</w:t>
      </w:r>
      <w:r w:rsidRPr="00DA2F93">
        <w:rPr>
          <w:rFonts w:cs="Arial"/>
          <w:color w:val="000000" w:themeColor="text1"/>
        </w:rPr>
        <w:t>.</w:t>
      </w:r>
    </w:p>
    <w:p w14:paraId="5E1D48CC" w14:textId="77777777" w:rsidR="004340F3" w:rsidRPr="00DA2F93" w:rsidRDefault="004340F3" w:rsidP="00B85137">
      <w:pPr>
        <w:autoSpaceDE w:val="0"/>
        <w:autoSpaceDN w:val="0"/>
        <w:adjustRightInd w:val="0"/>
        <w:ind w:left="1"/>
        <w:jc w:val="both"/>
        <w:rPr>
          <w:rFonts w:cs="Arial"/>
          <w:color w:val="000000" w:themeColor="text1"/>
        </w:rPr>
      </w:pPr>
    </w:p>
    <w:p w14:paraId="247EA75B" w14:textId="0FE4E610" w:rsidR="00903936" w:rsidRPr="00DA2F93" w:rsidRDefault="00B47B77" w:rsidP="00903936">
      <w:pPr>
        <w:autoSpaceDE w:val="0"/>
        <w:autoSpaceDN w:val="0"/>
        <w:adjustRightInd w:val="0"/>
        <w:ind w:left="1"/>
        <w:jc w:val="both"/>
        <w:rPr>
          <w:rFonts w:cs="Arial"/>
          <w:color w:val="000000" w:themeColor="text1"/>
        </w:rPr>
      </w:pPr>
      <w:r w:rsidRPr="00DA2F93">
        <w:rPr>
          <w:rFonts w:cs="Arial"/>
          <w:color w:val="000000" w:themeColor="text1"/>
        </w:rPr>
        <w:t>Toutefois</w:t>
      </w:r>
      <w:r w:rsidR="002239F5" w:rsidRPr="00DA2F93">
        <w:rPr>
          <w:rFonts w:cs="Arial"/>
          <w:color w:val="000000" w:themeColor="text1"/>
        </w:rPr>
        <w:t>,</w:t>
      </w:r>
      <w:r w:rsidRPr="00DA2F93">
        <w:rPr>
          <w:rFonts w:cs="Arial"/>
          <w:color w:val="000000" w:themeColor="text1"/>
        </w:rPr>
        <w:t xml:space="preserve"> s</w:t>
      </w:r>
      <w:r w:rsidR="00101569" w:rsidRPr="00DA2F93">
        <w:rPr>
          <w:rFonts w:cs="Arial"/>
          <w:color w:val="000000" w:themeColor="text1"/>
        </w:rPr>
        <w:t xml:space="preserve">euls </w:t>
      </w:r>
      <w:r w:rsidR="00F4291A" w:rsidRPr="00DA2F93">
        <w:rPr>
          <w:rFonts w:cs="Arial"/>
          <w:color w:val="000000" w:themeColor="text1"/>
        </w:rPr>
        <w:t xml:space="preserve">les montants restant effectivement à la charge du </w:t>
      </w:r>
      <w:r w:rsidR="00554628" w:rsidRPr="00DA2F93">
        <w:rPr>
          <w:rFonts w:cs="Arial"/>
          <w:color w:val="000000" w:themeColor="text1"/>
        </w:rPr>
        <w:t>Stockeur</w:t>
      </w:r>
      <w:r w:rsidR="00F4291A" w:rsidRPr="00DA2F93">
        <w:rPr>
          <w:rFonts w:cs="Arial"/>
          <w:color w:val="000000" w:themeColor="text1"/>
        </w:rPr>
        <w:t xml:space="preserve"> </w:t>
      </w:r>
      <w:r w:rsidR="004D51A4" w:rsidRPr="00DA2F93">
        <w:rPr>
          <w:rFonts w:cs="Arial"/>
          <w:color w:val="000000" w:themeColor="text1"/>
        </w:rPr>
        <w:t>ouvriront droit à un remboursement par l</w:t>
      </w:r>
      <w:r w:rsidR="00673CB8" w:rsidRPr="00DA2F93">
        <w:rPr>
          <w:rFonts w:cs="Arial"/>
          <w:color w:val="000000" w:themeColor="text1"/>
        </w:rPr>
        <w:t xml:space="preserve">e </w:t>
      </w:r>
      <w:r w:rsidR="00B361C0">
        <w:rPr>
          <w:rFonts w:cs="Arial"/>
          <w:color w:val="000000" w:themeColor="text1"/>
        </w:rPr>
        <w:t>GRT</w:t>
      </w:r>
      <w:r w:rsidR="002346DE" w:rsidRPr="00DA2F93">
        <w:rPr>
          <w:rFonts w:cs="Arial"/>
          <w:color w:val="000000" w:themeColor="text1"/>
        </w:rPr>
        <w:t xml:space="preserve">. </w:t>
      </w:r>
    </w:p>
    <w:p w14:paraId="22FB3F5A" w14:textId="77777777" w:rsidR="00A37A76" w:rsidRPr="00DA2F93" w:rsidRDefault="00A37A76" w:rsidP="00F4291A">
      <w:pPr>
        <w:autoSpaceDE w:val="0"/>
        <w:autoSpaceDN w:val="0"/>
        <w:adjustRightInd w:val="0"/>
        <w:jc w:val="both"/>
        <w:rPr>
          <w:rFonts w:cs="Arial"/>
          <w:color w:val="FF0000"/>
        </w:rPr>
      </w:pPr>
    </w:p>
    <w:p w14:paraId="1BBA1BDE" w14:textId="456A033E" w:rsidR="00A37A76" w:rsidRPr="00DA2F93" w:rsidRDefault="005F0239" w:rsidP="00A37A76">
      <w:pPr>
        <w:autoSpaceDE w:val="0"/>
        <w:autoSpaceDN w:val="0"/>
        <w:adjustRightInd w:val="0"/>
        <w:jc w:val="both"/>
        <w:rPr>
          <w:rFonts w:cs="Arial"/>
          <w:color w:val="000000" w:themeColor="text1"/>
        </w:rPr>
      </w:pPr>
      <w:r w:rsidRPr="00DA2F93">
        <w:rPr>
          <w:rFonts w:cs="Arial"/>
          <w:color w:val="000000" w:themeColor="text1"/>
        </w:rPr>
        <w:t xml:space="preserve">Sans porter préjudice, le cas échéant, aux cas d’application de la clause </w:t>
      </w:r>
      <w:r w:rsidR="004D5AE1" w:rsidRPr="00DA2F93">
        <w:rPr>
          <w:rFonts w:cs="Arial"/>
          <w:color w:val="000000" w:themeColor="text1"/>
        </w:rPr>
        <w:t xml:space="preserve">de sauvegarde prévue au </w:t>
      </w:r>
      <w:r w:rsidR="004D5AE1" w:rsidRPr="00DA2F93">
        <w:rPr>
          <w:szCs w:val="24"/>
        </w:rPr>
        <w:t>§</w:t>
      </w:r>
      <w:r w:rsidR="009A0687">
        <w:rPr>
          <w:rFonts w:cs="Arial"/>
          <w:color w:val="000000" w:themeColor="text1"/>
        </w:rPr>
        <w:t> </w:t>
      </w:r>
      <w:r w:rsidR="00C71C22" w:rsidRPr="00DA2F93">
        <w:fldChar w:fldCharType="begin"/>
      </w:r>
      <w:r w:rsidR="00C71C22" w:rsidRPr="00DA2F93">
        <w:instrText xml:space="preserve"> REF _Ref378338494 \r \h  \* MERGEFORMAT </w:instrText>
      </w:r>
      <w:r w:rsidR="00C71C22" w:rsidRPr="00DA2F93">
        <w:fldChar w:fldCharType="separate"/>
      </w:r>
      <w:r w:rsidR="0042414D" w:rsidRPr="000243CB">
        <w:rPr>
          <w:rFonts w:cs="Arial"/>
          <w:color w:val="000000" w:themeColor="text1"/>
        </w:rPr>
        <w:t>25</w:t>
      </w:r>
      <w:r w:rsidR="00C71C22" w:rsidRPr="00DA2F93">
        <w:fldChar w:fldCharType="end"/>
      </w:r>
      <w:r w:rsidRPr="00DA2F93">
        <w:rPr>
          <w:rFonts w:cs="Arial"/>
          <w:color w:val="000000" w:themeColor="text1"/>
        </w:rPr>
        <w:t xml:space="preserve"> </w:t>
      </w:r>
      <w:r w:rsidR="00DE4444" w:rsidRPr="00DA2F93">
        <w:rPr>
          <w:rFonts w:cs="Arial"/>
          <w:color w:val="000000" w:themeColor="text1"/>
        </w:rPr>
        <w:t>du présent</w:t>
      </w:r>
      <w:r w:rsidRPr="00DA2F93">
        <w:rPr>
          <w:rFonts w:cs="Arial"/>
          <w:color w:val="000000" w:themeColor="text1"/>
        </w:rPr>
        <w:t xml:space="preserve"> contrat, t</w:t>
      </w:r>
      <w:r w:rsidR="00A37A76" w:rsidRPr="00DA2F93">
        <w:rPr>
          <w:rFonts w:cs="Arial"/>
          <w:color w:val="000000" w:themeColor="text1"/>
        </w:rPr>
        <w:t>oute modification, changement de taux ou de montant, suppression ou création de taxe, impôt, redevance ou</w:t>
      </w:r>
      <w:r w:rsidR="002609E7" w:rsidRPr="00DA2F93">
        <w:rPr>
          <w:rFonts w:cs="Arial"/>
          <w:color w:val="000000" w:themeColor="text1"/>
        </w:rPr>
        <w:t xml:space="preserve"> contribution à la charge du </w:t>
      </w:r>
      <w:r w:rsidR="00554628" w:rsidRPr="00DA2F93">
        <w:rPr>
          <w:rFonts w:cs="Arial"/>
          <w:color w:val="000000" w:themeColor="text1"/>
        </w:rPr>
        <w:t>Stockeur</w:t>
      </w:r>
      <w:r w:rsidR="00A37A76" w:rsidRPr="00DA2F93">
        <w:rPr>
          <w:rFonts w:cs="Arial"/>
          <w:color w:val="000000" w:themeColor="text1"/>
        </w:rPr>
        <w:t xml:space="preserve"> sera immédiatement répercutée dans la facturation, soit en hausse, soit en baisse.</w:t>
      </w:r>
    </w:p>
    <w:p w14:paraId="4DCBC1A7" w14:textId="77777777" w:rsidR="009C4D09" w:rsidRPr="00DA2F93" w:rsidRDefault="009C4D09" w:rsidP="000548E3">
      <w:pPr>
        <w:jc w:val="both"/>
        <w:rPr>
          <w:rFonts w:cs="Arial"/>
        </w:rPr>
      </w:pPr>
    </w:p>
    <w:p w14:paraId="1CD111BD" w14:textId="77777777" w:rsidR="009C4D09" w:rsidRPr="00DA2F93" w:rsidRDefault="00BF07AA" w:rsidP="000548E3">
      <w:pPr>
        <w:pStyle w:val="EDFTitre1"/>
        <w:jc w:val="both"/>
      </w:pPr>
      <w:bookmarkStart w:id="360" w:name="_Ref378325257"/>
      <w:bookmarkStart w:id="361" w:name="_Ref378333770"/>
      <w:bookmarkStart w:id="362" w:name="_Ref378333817"/>
      <w:bookmarkStart w:id="363" w:name="_Toc388896099"/>
      <w:bookmarkStart w:id="364" w:name="_Toc108113976"/>
      <w:bookmarkStart w:id="365" w:name="_Toc110436492"/>
      <w:r w:rsidRPr="00DA2F93">
        <w:t>P</w:t>
      </w:r>
      <w:r w:rsidR="009C4D09" w:rsidRPr="00DA2F93">
        <w:t>erturbations dans la fourniture des services</w:t>
      </w:r>
      <w:bookmarkEnd w:id="360"/>
      <w:bookmarkEnd w:id="361"/>
      <w:bookmarkEnd w:id="362"/>
      <w:bookmarkEnd w:id="363"/>
      <w:bookmarkEnd w:id="364"/>
      <w:bookmarkEnd w:id="365"/>
    </w:p>
    <w:p w14:paraId="1BA252FC" w14:textId="0F0B3B71" w:rsidR="000C2AB1" w:rsidRPr="00DA2F93" w:rsidRDefault="000C2AB1" w:rsidP="000C2AB1">
      <w:pPr>
        <w:autoSpaceDE w:val="0"/>
        <w:autoSpaceDN w:val="0"/>
        <w:adjustRightInd w:val="0"/>
        <w:jc w:val="both"/>
        <w:rPr>
          <w:rFonts w:cs="Arial"/>
          <w:color w:val="000000" w:themeColor="text1"/>
        </w:rPr>
      </w:pPr>
      <w:r w:rsidRPr="00DA2F93">
        <w:rPr>
          <w:rFonts w:cs="Arial"/>
          <w:color w:val="000000" w:themeColor="text1"/>
        </w:rPr>
        <w:t xml:space="preserve">Le réseau électrique par lequel le </w:t>
      </w:r>
      <w:r w:rsidR="00554628" w:rsidRPr="00DA2F93">
        <w:rPr>
          <w:rFonts w:cs="Arial"/>
          <w:color w:val="000000" w:themeColor="text1"/>
        </w:rPr>
        <w:t>Stockeur</w:t>
      </w:r>
      <w:r w:rsidRPr="00DA2F93">
        <w:rPr>
          <w:rFonts w:cs="Arial"/>
          <w:color w:val="000000" w:themeColor="text1"/>
        </w:rPr>
        <w:t xml:space="preserve"> injectera </w:t>
      </w:r>
      <w:r w:rsidR="00CE23C1" w:rsidRPr="00DA2F93">
        <w:rPr>
          <w:rFonts w:cs="Arial"/>
          <w:color w:val="000000" w:themeColor="text1"/>
        </w:rPr>
        <w:t>et soutirera son énergie</w:t>
      </w:r>
      <w:r w:rsidRPr="00DA2F93">
        <w:rPr>
          <w:rFonts w:cs="Arial"/>
          <w:color w:val="000000" w:themeColor="text1"/>
        </w:rPr>
        <w:t xml:space="preserve"> sera tenu en permanence à sa disposition par l</w:t>
      </w:r>
      <w:r w:rsidR="00673CB8" w:rsidRPr="00DA2F93">
        <w:rPr>
          <w:rFonts w:cs="Arial"/>
          <w:color w:val="000000" w:themeColor="text1"/>
        </w:rPr>
        <w:t xml:space="preserve">e </w:t>
      </w:r>
      <w:r w:rsidR="00B361C0">
        <w:rPr>
          <w:rFonts w:cs="Arial"/>
          <w:color w:val="000000" w:themeColor="text1"/>
        </w:rPr>
        <w:t>GRT</w:t>
      </w:r>
      <w:r w:rsidRPr="00DA2F93">
        <w:rPr>
          <w:rFonts w:cs="Arial"/>
          <w:color w:val="000000" w:themeColor="text1"/>
        </w:rPr>
        <w:t xml:space="preserve">, sous les seules réserves </w:t>
      </w:r>
      <w:r w:rsidR="006E031F">
        <w:rPr>
          <w:rFonts w:cs="Arial"/>
          <w:color w:val="000000" w:themeColor="text1"/>
        </w:rPr>
        <w:t xml:space="preserve">et conditions </w:t>
      </w:r>
      <w:r w:rsidR="00BD4FB9">
        <w:rPr>
          <w:rFonts w:cs="Arial"/>
          <w:color w:val="000000" w:themeColor="text1"/>
        </w:rPr>
        <w:t xml:space="preserve">mentionnées dans la </w:t>
      </w:r>
      <w:r w:rsidR="00502B79">
        <w:rPr>
          <w:rFonts w:cs="Arial"/>
          <w:color w:val="000000" w:themeColor="text1"/>
        </w:rPr>
        <w:t>Convention de Raccordement et d’Exploitation</w:t>
      </w:r>
      <w:r w:rsidR="00BD4FB9">
        <w:rPr>
          <w:rFonts w:cs="Arial"/>
          <w:color w:val="000000" w:themeColor="text1"/>
        </w:rPr>
        <w:t>.</w:t>
      </w:r>
    </w:p>
    <w:p w14:paraId="0D048A91" w14:textId="77777777" w:rsidR="000C2AB1" w:rsidRPr="00DA2F93" w:rsidRDefault="000C2AB1" w:rsidP="000C2AB1">
      <w:pPr>
        <w:jc w:val="both"/>
        <w:rPr>
          <w:rFonts w:cs="Arial"/>
        </w:rPr>
      </w:pPr>
    </w:p>
    <w:p w14:paraId="02449A59" w14:textId="7A233BC8" w:rsidR="00B77707" w:rsidRPr="00DA2F93" w:rsidRDefault="00D64324" w:rsidP="000C2AB1">
      <w:pPr>
        <w:jc w:val="both"/>
      </w:pPr>
      <w:r w:rsidRPr="00DA2F93">
        <w:rPr>
          <w:szCs w:val="24"/>
        </w:rPr>
        <w:t>Pendant l</w:t>
      </w:r>
      <w:r w:rsidR="000C2AB1" w:rsidRPr="00DA2F93">
        <w:rPr>
          <w:szCs w:val="24"/>
        </w:rPr>
        <w:t xml:space="preserve">es périodes où le réseau </w:t>
      </w:r>
      <w:r w:rsidR="00B361C0">
        <w:rPr>
          <w:szCs w:val="24"/>
        </w:rPr>
        <w:t>ENERCAL</w:t>
      </w:r>
      <w:r w:rsidR="000C2AB1" w:rsidRPr="00DA2F93">
        <w:rPr>
          <w:rFonts w:cs="Arial"/>
        </w:rPr>
        <w:t xml:space="preserve"> </w:t>
      </w:r>
      <w:r w:rsidR="000C2AB1" w:rsidRPr="00DA2F93">
        <w:rPr>
          <w:szCs w:val="24"/>
        </w:rPr>
        <w:t xml:space="preserve">n’est pas disponible pour évacuer l’électricité </w:t>
      </w:r>
      <w:r w:rsidR="000F4F14">
        <w:rPr>
          <w:szCs w:val="24"/>
        </w:rPr>
        <w:t xml:space="preserve">restituée ou </w:t>
      </w:r>
      <w:r w:rsidR="000F4F14" w:rsidRPr="0012677E">
        <w:rPr>
          <w:szCs w:val="24"/>
        </w:rPr>
        <w:t>soutirée</w:t>
      </w:r>
      <w:r w:rsidR="000F4F14" w:rsidRPr="00DA2F93">
        <w:rPr>
          <w:szCs w:val="24"/>
        </w:rPr>
        <w:t xml:space="preserve"> </w:t>
      </w:r>
      <w:r w:rsidR="000C2AB1" w:rsidRPr="00DA2F93">
        <w:rPr>
          <w:szCs w:val="24"/>
        </w:rPr>
        <w:t xml:space="preserve">par </w:t>
      </w:r>
      <w:r w:rsidR="0049441B" w:rsidRPr="00DA2F93">
        <w:rPr>
          <w:szCs w:val="24"/>
        </w:rPr>
        <w:t>l’Installation</w:t>
      </w:r>
      <w:r w:rsidR="000C2AB1" w:rsidRPr="00DA2F93">
        <w:rPr>
          <w:szCs w:val="24"/>
        </w:rPr>
        <w:t xml:space="preserve">, </w:t>
      </w:r>
      <w:r w:rsidR="005F7B21" w:rsidRPr="00DA2F93">
        <w:rPr>
          <w:szCs w:val="24"/>
        </w:rPr>
        <w:t>la PPG continue d’être</w:t>
      </w:r>
      <w:r w:rsidR="006E031F">
        <w:rPr>
          <w:szCs w:val="24"/>
        </w:rPr>
        <w:t xml:space="preserve"> versée</w:t>
      </w:r>
      <w:r w:rsidR="0014365F" w:rsidRPr="00DA2F93">
        <w:t>.</w:t>
      </w:r>
    </w:p>
    <w:p w14:paraId="2197C7A1" w14:textId="77777777" w:rsidR="000C1902" w:rsidRPr="00DA2F93" w:rsidRDefault="000C1902" w:rsidP="000548E3">
      <w:pPr>
        <w:widowControl w:val="0"/>
        <w:autoSpaceDE w:val="0"/>
        <w:autoSpaceDN w:val="0"/>
        <w:adjustRightInd w:val="0"/>
        <w:ind w:right="3495"/>
        <w:jc w:val="both"/>
      </w:pPr>
    </w:p>
    <w:p w14:paraId="56D236F1" w14:textId="7C2ED456" w:rsidR="00020A41" w:rsidRPr="00DA2F93" w:rsidRDefault="00380FC6" w:rsidP="00020A41">
      <w:pPr>
        <w:pStyle w:val="EDFTitre1"/>
        <w:jc w:val="both"/>
      </w:pPr>
      <w:bookmarkStart w:id="366" w:name="_Toc388896102"/>
      <w:bookmarkStart w:id="367" w:name="_Ref415576476"/>
      <w:bookmarkStart w:id="368" w:name="_Toc108113977"/>
      <w:bookmarkStart w:id="369" w:name="_Toc110436493"/>
      <w:r w:rsidRPr="00DA2F93">
        <w:t>M</w:t>
      </w:r>
      <w:r w:rsidR="00020A41" w:rsidRPr="00DA2F93">
        <w:t xml:space="preserve">ise en service </w:t>
      </w:r>
      <w:bookmarkEnd w:id="366"/>
      <w:bookmarkEnd w:id="367"/>
      <w:r w:rsidR="00F71BC8">
        <w:t>industrielle</w:t>
      </w:r>
      <w:bookmarkEnd w:id="368"/>
      <w:bookmarkEnd w:id="369"/>
    </w:p>
    <w:p w14:paraId="59929204" w14:textId="090F304B" w:rsidR="00020A41" w:rsidRPr="00DA2F93" w:rsidRDefault="00020A41" w:rsidP="00020A41">
      <w:pPr>
        <w:pStyle w:val="EDFTitre2"/>
        <w:jc w:val="both"/>
      </w:pPr>
      <w:bookmarkStart w:id="370" w:name="_Toc388896103"/>
      <w:bookmarkStart w:id="371" w:name="_Toc108113978"/>
      <w:bookmarkStart w:id="372" w:name="_Toc110436494"/>
      <w:r w:rsidRPr="00DA2F93">
        <w:t xml:space="preserve">Information </w:t>
      </w:r>
      <w:r w:rsidR="00673CB8" w:rsidRPr="00DA2F93">
        <w:rPr>
          <w:szCs w:val="24"/>
        </w:rPr>
        <w:t xml:space="preserve">du </w:t>
      </w:r>
      <w:r w:rsidR="00B361C0">
        <w:rPr>
          <w:szCs w:val="24"/>
        </w:rPr>
        <w:t>GRT</w:t>
      </w:r>
      <w:r w:rsidR="00673CB8" w:rsidRPr="00DA2F93">
        <w:rPr>
          <w:szCs w:val="24"/>
        </w:rPr>
        <w:t xml:space="preserve"> </w:t>
      </w:r>
      <w:r w:rsidRPr="00DA2F93">
        <w:t xml:space="preserve">par le </w:t>
      </w:r>
      <w:r w:rsidR="00554628" w:rsidRPr="00DA2F93">
        <w:t>Stockeur</w:t>
      </w:r>
      <w:r w:rsidRPr="00DA2F93">
        <w:t xml:space="preserve"> jusqu'à la mise en service </w:t>
      </w:r>
      <w:bookmarkEnd w:id="370"/>
      <w:r w:rsidR="00F71BC8">
        <w:t>industrielle</w:t>
      </w:r>
      <w:bookmarkEnd w:id="371"/>
      <w:bookmarkEnd w:id="372"/>
    </w:p>
    <w:p w14:paraId="66F894D1" w14:textId="22C3774C" w:rsidR="00E61D20" w:rsidRPr="00DA2F93" w:rsidRDefault="003A2F1D" w:rsidP="00E61D20">
      <w:pPr>
        <w:jc w:val="both"/>
        <w:rPr>
          <w:rFonts w:cs="Arial"/>
        </w:rPr>
      </w:pPr>
      <w:bookmarkStart w:id="373" w:name="_Toc388896104"/>
      <w:r w:rsidRPr="00DA2F93">
        <w:rPr>
          <w:rFonts w:cs="Arial"/>
        </w:rPr>
        <w:t xml:space="preserve">A compter de </w:t>
      </w:r>
      <w:r w:rsidR="00E85C5B" w:rsidRPr="00DA2F93">
        <w:rPr>
          <w:rFonts w:cs="Arial"/>
        </w:rPr>
        <w:t>la date de signature du contrat et</w:t>
      </w:r>
      <w:r w:rsidR="00B85137" w:rsidRPr="00DA2F93">
        <w:rPr>
          <w:rFonts w:cs="Arial"/>
        </w:rPr>
        <w:t xml:space="preserve"> jusqu’à la Mise en Service </w:t>
      </w:r>
      <w:r w:rsidR="00F71BC8">
        <w:rPr>
          <w:rFonts w:cs="Arial"/>
        </w:rPr>
        <w:t>Industrielle</w:t>
      </w:r>
      <w:r w:rsidR="00BC5096" w:rsidRPr="00DA2F93">
        <w:rPr>
          <w:rFonts w:cs="Arial"/>
        </w:rPr>
        <w:t xml:space="preserve"> de l’Installation, le </w:t>
      </w:r>
      <w:r w:rsidR="00554628" w:rsidRPr="00DA2F93">
        <w:rPr>
          <w:rFonts w:cs="Arial"/>
        </w:rPr>
        <w:t>Stockeur</w:t>
      </w:r>
      <w:r w:rsidR="00BC5096" w:rsidRPr="00DA2F93">
        <w:rPr>
          <w:rFonts w:cs="Arial"/>
        </w:rPr>
        <w:t xml:space="preserve"> informe régulièrement l</w:t>
      </w:r>
      <w:r w:rsidR="00673CB8" w:rsidRPr="00DA2F93">
        <w:rPr>
          <w:rFonts w:cs="Arial"/>
        </w:rPr>
        <w:t xml:space="preserve">e </w:t>
      </w:r>
      <w:r w:rsidR="00B361C0">
        <w:rPr>
          <w:rFonts w:cs="Arial"/>
        </w:rPr>
        <w:t>GRT</w:t>
      </w:r>
      <w:r w:rsidR="00BC5096" w:rsidRPr="00DA2F93">
        <w:rPr>
          <w:rFonts w:cs="Arial"/>
        </w:rPr>
        <w:t xml:space="preserve"> de l’avancement du projet.</w:t>
      </w:r>
      <w:bookmarkEnd w:id="373"/>
      <w:r w:rsidR="00E61D20" w:rsidRPr="00DA2F93">
        <w:rPr>
          <w:rFonts w:cs="Arial"/>
        </w:rPr>
        <w:t xml:space="preserve"> </w:t>
      </w:r>
    </w:p>
    <w:p w14:paraId="69720F4F" w14:textId="6B4893BF" w:rsidR="00E61D20" w:rsidRPr="00DA2F93" w:rsidRDefault="00E61D20" w:rsidP="00E61D20">
      <w:pPr>
        <w:jc w:val="both"/>
      </w:pPr>
      <w:r w:rsidRPr="00DA2F93">
        <w:rPr>
          <w:rFonts w:cs="Arial"/>
        </w:rPr>
        <w:t>L</w:t>
      </w:r>
      <w:r w:rsidRPr="00DA2F93">
        <w:t xml:space="preserve">e </w:t>
      </w:r>
      <w:r w:rsidR="00554628" w:rsidRPr="00DA2F93">
        <w:t>Stockeur</w:t>
      </w:r>
      <w:r w:rsidRPr="00DA2F93">
        <w:t xml:space="preserve"> fournira ainsi </w:t>
      </w:r>
      <w:r w:rsidR="00673CB8" w:rsidRPr="00DA2F93">
        <w:t xml:space="preserve">au </w:t>
      </w:r>
      <w:r w:rsidR="00B361C0">
        <w:t>GRT</w:t>
      </w:r>
      <w:r w:rsidRPr="00DA2F93">
        <w:t xml:space="preserve"> les informations qui lui semblent pertinentes concernant les points suivants :</w:t>
      </w:r>
    </w:p>
    <w:p w14:paraId="57C22D6D" w14:textId="77777777" w:rsidR="00E61D20" w:rsidRPr="00DA2F93" w:rsidRDefault="00E61D20" w:rsidP="008544B3">
      <w:pPr>
        <w:pStyle w:val="Paragraphedeliste"/>
        <w:numPr>
          <w:ilvl w:val="0"/>
          <w:numId w:val="6"/>
        </w:numPr>
        <w:jc w:val="both"/>
        <w:rPr>
          <w:rFonts w:cs="Arial"/>
          <w:bCs/>
        </w:rPr>
      </w:pPr>
      <w:r w:rsidRPr="00DA2F93">
        <w:rPr>
          <w:rFonts w:cs="Arial"/>
          <w:bCs/>
        </w:rPr>
        <w:t>Suivi et avancement des études et des travaux ;</w:t>
      </w:r>
    </w:p>
    <w:p w14:paraId="4F55A5BC" w14:textId="77777777" w:rsidR="00E61D20" w:rsidRPr="00DA2F93" w:rsidRDefault="00E61D20" w:rsidP="008544B3">
      <w:pPr>
        <w:pStyle w:val="Paragraphedeliste"/>
        <w:numPr>
          <w:ilvl w:val="0"/>
          <w:numId w:val="6"/>
        </w:numPr>
        <w:jc w:val="both"/>
        <w:rPr>
          <w:rFonts w:cs="Arial"/>
          <w:bCs/>
        </w:rPr>
      </w:pPr>
      <w:r w:rsidRPr="00DA2F93">
        <w:rPr>
          <w:rFonts w:cs="Arial"/>
          <w:bCs/>
        </w:rPr>
        <w:t>Respect du planning du projet ;</w:t>
      </w:r>
    </w:p>
    <w:p w14:paraId="23C3EFCC" w14:textId="46230811" w:rsidR="00E61D20" w:rsidRPr="00DA2F93" w:rsidRDefault="00E61D20" w:rsidP="008544B3">
      <w:pPr>
        <w:pStyle w:val="Paragraphedeliste"/>
        <w:numPr>
          <w:ilvl w:val="0"/>
          <w:numId w:val="6"/>
        </w:numPr>
        <w:jc w:val="both"/>
        <w:rPr>
          <w:rFonts w:cs="Arial"/>
          <w:bCs/>
        </w:rPr>
      </w:pPr>
      <w:r w:rsidRPr="00DA2F93">
        <w:rPr>
          <w:rFonts w:cs="Arial"/>
          <w:bCs/>
        </w:rPr>
        <w:t xml:space="preserve">Etat d’avancement des procédures d’obtention des autorisations nécessaires : </w:t>
      </w:r>
      <w:r w:rsidR="00116DA5">
        <w:rPr>
          <w:rFonts w:cs="Arial"/>
          <w:bCs/>
        </w:rPr>
        <w:t>A</w:t>
      </w:r>
      <w:r w:rsidRPr="00DA2F93">
        <w:rPr>
          <w:rFonts w:cs="Arial"/>
          <w:bCs/>
        </w:rPr>
        <w:t>utorisation ICPE, permis de construire, etc</w:t>
      </w:r>
      <w:r w:rsidR="002239F5" w:rsidRPr="00DA2F93">
        <w:rPr>
          <w:rFonts w:cs="Arial"/>
          <w:bCs/>
        </w:rPr>
        <w:t>.</w:t>
      </w:r>
    </w:p>
    <w:p w14:paraId="2ED31810" w14:textId="77777777" w:rsidR="00E61D20" w:rsidRPr="00DA2F93" w:rsidRDefault="00E61D20" w:rsidP="00E61D20">
      <w:pPr>
        <w:widowControl w:val="0"/>
        <w:tabs>
          <w:tab w:val="left" w:pos="204"/>
        </w:tabs>
        <w:autoSpaceDE w:val="0"/>
        <w:autoSpaceDN w:val="0"/>
        <w:adjustRightInd w:val="0"/>
        <w:ind w:left="1"/>
        <w:rPr>
          <w:rFonts w:cs="Arial"/>
          <w:bCs/>
        </w:rPr>
      </w:pPr>
      <w:r w:rsidRPr="00DA2F93">
        <w:rPr>
          <w:rFonts w:cs="Arial"/>
          <w:bCs/>
        </w:rPr>
        <w:t>Chaque Partie peut demander et obtenir la tenue de réunions si elle estime que la situation le justifie.</w:t>
      </w:r>
    </w:p>
    <w:p w14:paraId="734EE511" w14:textId="77777777" w:rsidR="00661736" w:rsidRPr="00DA2F93" w:rsidRDefault="00661736">
      <w:pPr>
        <w:jc w:val="both"/>
        <w:rPr>
          <w:rFonts w:cs="Arial"/>
        </w:rPr>
      </w:pPr>
    </w:p>
    <w:p w14:paraId="7C5FFE90" w14:textId="1971585A" w:rsidR="00177B6A" w:rsidRPr="00A775B6" w:rsidRDefault="00020A41" w:rsidP="00177B6A">
      <w:pPr>
        <w:jc w:val="both"/>
        <w:rPr>
          <w:rFonts w:cs="Arial"/>
        </w:rPr>
      </w:pPr>
      <w:r w:rsidRPr="00A775B6">
        <w:rPr>
          <w:rFonts w:cs="Arial"/>
        </w:rPr>
        <w:t xml:space="preserve">Le </w:t>
      </w:r>
      <w:r w:rsidR="00554628" w:rsidRPr="00A775B6">
        <w:rPr>
          <w:rFonts w:cs="Arial"/>
        </w:rPr>
        <w:t>Stockeur</w:t>
      </w:r>
      <w:r w:rsidRPr="00A775B6">
        <w:rPr>
          <w:rFonts w:cs="Arial"/>
        </w:rPr>
        <w:t xml:space="preserve"> s’engage à informer l</w:t>
      </w:r>
      <w:r w:rsidR="00673CB8" w:rsidRPr="00A775B6">
        <w:rPr>
          <w:rFonts w:cs="Arial"/>
        </w:rPr>
        <w:t xml:space="preserve">e </w:t>
      </w:r>
      <w:r w:rsidR="00B361C0" w:rsidRPr="00A775B6">
        <w:rPr>
          <w:rFonts w:cs="Arial"/>
        </w:rPr>
        <w:t>GRT</w:t>
      </w:r>
      <w:r w:rsidRPr="00A775B6">
        <w:rPr>
          <w:rFonts w:cs="Arial"/>
        </w:rPr>
        <w:t xml:space="preserve"> le plus tôt possible de tout risque de retard de la </w:t>
      </w:r>
      <w:r w:rsidR="00FE27C0" w:rsidRPr="00A775B6">
        <w:rPr>
          <w:rFonts w:cs="Arial"/>
        </w:rPr>
        <w:t>M</w:t>
      </w:r>
      <w:r w:rsidRPr="00A775B6">
        <w:rPr>
          <w:rFonts w:cs="Arial"/>
        </w:rPr>
        <w:t xml:space="preserve">ise en </w:t>
      </w:r>
      <w:r w:rsidR="00FE27C0" w:rsidRPr="00A775B6">
        <w:rPr>
          <w:rFonts w:cs="Arial"/>
        </w:rPr>
        <w:t>S</w:t>
      </w:r>
      <w:r w:rsidRPr="00A775B6">
        <w:rPr>
          <w:rFonts w:cs="Arial"/>
        </w:rPr>
        <w:t xml:space="preserve">ervice </w:t>
      </w:r>
      <w:r w:rsidR="00F71BC8" w:rsidRPr="00A775B6">
        <w:rPr>
          <w:rFonts w:cs="Arial"/>
        </w:rPr>
        <w:t>Industrielle</w:t>
      </w:r>
      <w:r w:rsidRPr="00A775B6">
        <w:rPr>
          <w:rFonts w:cs="Arial"/>
        </w:rPr>
        <w:t xml:space="preserve"> de l’</w:t>
      </w:r>
      <w:r w:rsidR="00E534CA" w:rsidRPr="00A775B6">
        <w:rPr>
          <w:rFonts w:cs="Arial"/>
        </w:rPr>
        <w:t xml:space="preserve">Installation. Dans l’hypothèse d’un retard </w:t>
      </w:r>
      <w:r w:rsidR="00B47B77" w:rsidRPr="00A775B6">
        <w:rPr>
          <w:rFonts w:cs="Arial"/>
        </w:rPr>
        <w:tab/>
        <w:t xml:space="preserve">avéré </w:t>
      </w:r>
      <w:r w:rsidR="00E534CA" w:rsidRPr="00A775B6">
        <w:rPr>
          <w:rFonts w:cs="Arial"/>
        </w:rPr>
        <w:t xml:space="preserve">de la </w:t>
      </w:r>
      <w:r w:rsidR="00FE27C0" w:rsidRPr="00A775B6">
        <w:rPr>
          <w:rFonts w:cs="Arial"/>
        </w:rPr>
        <w:t>M</w:t>
      </w:r>
      <w:r w:rsidR="00E534CA" w:rsidRPr="00A775B6">
        <w:rPr>
          <w:rFonts w:cs="Arial"/>
        </w:rPr>
        <w:t xml:space="preserve">ise en </w:t>
      </w:r>
      <w:r w:rsidR="00FE27C0" w:rsidRPr="00A775B6">
        <w:rPr>
          <w:rFonts w:cs="Arial"/>
        </w:rPr>
        <w:t>S</w:t>
      </w:r>
      <w:r w:rsidR="00E534CA" w:rsidRPr="00A775B6">
        <w:rPr>
          <w:rFonts w:cs="Arial"/>
        </w:rPr>
        <w:t xml:space="preserve">ervice </w:t>
      </w:r>
      <w:r w:rsidR="00F71BC8" w:rsidRPr="00A775B6">
        <w:rPr>
          <w:rFonts w:cs="Arial"/>
        </w:rPr>
        <w:t>Industrielle</w:t>
      </w:r>
      <w:r w:rsidR="00E534CA" w:rsidRPr="00A775B6">
        <w:rPr>
          <w:rFonts w:cs="Arial"/>
        </w:rPr>
        <w:t xml:space="preserve"> par rapport à la date prévisionnelle </w:t>
      </w:r>
      <w:r w:rsidR="00FE27C0" w:rsidRPr="00A775B6">
        <w:rPr>
          <w:rFonts w:cs="Arial"/>
        </w:rPr>
        <w:t xml:space="preserve">indiquée au </w:t>
      </w:r>
      <w:r w:rsidR="00FE27C0" w:rsidRPr="00A775B6">
        <w:rPr>
          <w:color w:val="000000" w:themeColor="text1"/>
        </w:rPr>
        <w:t xml:space="preserve">§ </w:t>
      </w:r>
      <w:r w:rsidR="00C71C22" w:rsidRPr="00A775B6">
        <w:fldChar w:fldCharType="begin"/>
      </w:r>
      <w:r w:rsidR="00C71C22" w:rsidRPr="00A775B6">
        <w:instrText xml:space="preserve"> REF _Ref415575236 \r \h  \* MERGEFORMAT </w:instrText>
      </w:r>
      <w:r w:rsidR="00C71C22" w:rsidRPr="00A775B6">
        <w:fldChar w:fldCharType="separate"/>
      </w:r>
      <w:r w:rsidR="0042414D" w:rsidRPr="00A775B6">
        <w:rPr>
          <w:color w:val="000000" w:themeColor="text1"/>
        </w:rPr>
        <w:t>21</w:t>
      </w:r>
      <w:r w:rsidR="00C71C22" w:rsidRPr="00A775B6">
        <w:fldChar w:fldCharType="end"/>
      </w:r>
      <w:r w:rsidR="00E534CA" w:rsidRPr="00A775B6">
        <w:rPr>
          <w:rFonts w:cs="Arial"/>
        </w:rPr>
        <w:t xml:space="preserve">, </w:t>
      </w:r>
      <w:r w:rsidR="00177B6A" w:rsidRPr="00A775B6">
        <w:rPr>
          <w:rFonts w:cs="Arial"/>
        </w:rPr>
        <w:t xml:space="preserve">une pénalité d’un montant de 5 millions de francs CFP par jour calendaire sera appliquée à la prime de puissance garantie de la première année. Cette pénalité est plafonnée à 50% du montant de la prime de puissance garantie annuelle. </w:t>
      </w:r>
      <w:r w:rsidR="00177B6A" w:rsidRPr="00A775B6">
        <w:t xml:space="preserve"> </w:t>
      </w:r>
      <w:r w:rsidR="00177B6A" w:rsidRPr="00A775B6">
        <w:rPr>
          <w:rFonts w:cs="Arial"/>
        </w:rPr>
        <w:t xml:space="preserve">Des dérogations sont toutefois possibles dans le cas où des contentieux administratifs effectués à l’encontre de toute autorisation administrative nécessaire à la réalisation du projet ont pour effet de retarder la construction de l’installation ou sa mise en service. </w:t>
      </w:r>
    </w:p>
    <w:p w14:paraId="600DB542" w14:textId="4D7E07B7" w:rsidR="00661736" w:rsidRPr="00DA2F93" w:rsidRDefault="00177B6A" w:rsidP="00177B6A">
      <w:pPr>
        <w:jc w:val="both"/>
        <w:rPr>
          <w:rFonts w:cs="Arial"/>
        </w:rPr>
      </w:pPr>
      <w:r w:rsidRPr="00A775B6">
        <w:rPr>
          <w:rFonts w:cs="Arial"/>
        </w:rPr>
        <w:t>Dans ce cas, un délai supplémentaire égal à la durée entre la date du recours initial et la date de la décision définitive attestée par la décision ayant autorité de la chose jugée est alors accordé. Ces retards sont réputés autorisés sous réserve d</w:t>
      </w:r>
      <w:r w:rsidR="009D40F1" w:rsidRPr="00A775B6">
        <w:rPr>
          <w:rFonts w:cs="Arial"/>
        </w:rPr>
        <w:t>e pouvoir les justifier auprès du client</w:t>
      </w:r>
      <w:r w:rsidRPr="00A775B6">
        <w:rPr>
          <w:rFonts w:cs="Arial"/>
        </w:rPr>
        <w:t>.</w:t>
      </w:r>
    </w:p>
    <w:p w14:paraId="08EF9752" w14:textId="77777777" w:rsidR="00020A41" w:rsidRPr="00DA2F93" w:rsidRDefault="00020A41" w:rsidP="000548E3">
      <w:pPr>
        <w:widowControl w:val="0"/>
        <w:autoSpaceDE w:val="0"/>
        <w:autoSpaceDN w:val="0"/>
        <w:adjustRightInd w:val="0"/>
        <w:ind w:right="3495"/>
        <w:jc w:val="both"/>
      </w:pPr>
    </w:p>
    <w:p w14:paraId="6A8CDF4E" w14:textId="4D237729" w:rsidR="00661736" w:rsidRPr="00DA2F93" w:rsidRDefault="00020A41">
      <w:pPr>
        <w:pStyle w:val="EDFTitre2"/>
        <w:widowControl w:val="0"/>
        <w:autoSpaceDE w:val="0"/>
        <w:autoSpaceDN w:val="0"/>
        <w:adjustRightInd w:val="0"/>
        <w:ind w:right="3495"/>
        <w:jc w:val="both"/>
      </w:pPr>
      <w:bookmarkStart w:id="374" w:name="_Toc388896105"/>
      <w:bookmarkStart w:id="375" w:name="_Toc108113979"/>
      <w:bookmarkStart w:id="376" w:name="_Toc110436495"/>
      <w:r w:rsidRPr="00DA2F93">
        <w:t xml:space="preserve">Mise en service </w:t>
      </w:r>
      <w:bookmarkEnd w:id="374"/>
      <w:r w:rsidR="00F71BC8">
        <w:t>industrielle</w:t>
      </w:r>
      <w:bookmarkEnd w:id="375"/>
      <w:bookmarkEnd w:id="376"/>
    </w:p>
    <w:p w14:paraId="395FAE38" w14:textId="77777777" w:rsidR="003A2F1D" w:rsidRPr="00DA2F93" w:rsidRDefault="003A2F1D" w:rsidP="003A2F1D">
      <w:pPr>
        <w:jc w:val="both"/>
        <w:rPr>
          <w:rFonts w:cs="Arial"/>
        </w:rPr>
      </w:pPr>
      <w:r w:rsidRPr="00DA2F93">
        <w:rPr>
          <w:rFonts w:cs="Arial"/>
        </w:rPr>
        <w:t>Sous réserve des conditions suivantes :</w:t>
      </w:r>
    </w:p>
    <w:p w14:paraId="26AB6FFD" w14:textId="77777777" w:rsidR="00B46607" w:rsidRPr="00DA2F93" w:rsidRDefault="003A2F1D" w:rsidP="008544B3">
      <w:pPr>
        <w:pStyle w:val="Paragraphedeliste"/>
        <w:numPr>
          <w:ilvl w:val="0"/>
          <w:numId w:val="6"/>
        </w:numPr>
        <w:jc w:val="both"/>
        <w:rPr>
          <w:color w:val="000000" w:themeColor="text1"/>
        </w:rPr>
      </w:pPr>
      <w:r w:rsidRPr="00DA2F93">
        <w:rPr>
          <w:rFonts w:cs="Arial"/>
        </w:rPr>
        <w:t>Autorisations administratives complètes</w:t>
      </w:r>
      <w:r w:rsidR="00B46607" w:rsidRPr="00DA2F93">
        <w:rPr>
          <w:rFonts w:cs="Arial"/>
        </w:rPr>
        <w:t> ;</w:t>
      </w:r>
    </w:p>
    <w:p w14:paraId="19F407FE" w14:textId="4816577C" w:rsidR="003A2F1D" w:rsidRPr="00DA2F93" w:rsidRDefault="00B46607" w:rsidP="008544B3">
      <w:pPr>
        <w:pStyle w:val="Paragraphedeliste"/>
        <w:numPr>
          <w:ilvl w:val="0"/>
          <w:numId w:val="6"/>
        </w:numPr>
        <w:jc w:val="both"/>
        <w:rPr>
          <w:color w:val="000000" w:themeColor="text1"/>
        </w:rPr>
      </w:pPr>
      <w:r w:rsidRPr="00DA2F93">
        <w:rPr>
          <w:rFonts w:cs="Arial"/>
        </w:rPr>
        <w:t xml:space="preserve">Signature </w:t>
      </w:r>
      <w:r w:rsidR="003A2F1D" w:rsidRPr="00DA2F93">
        <w:rPr>
          <w:rFonts w:cs="Arial"/>
        </w:rPr>
        <w:t xml:space="preserve">par les Parties et entrée en vigueur </w:t>
      </w:r>
      <w:r w:rsidR="003A2F1D" w:rsidRPr="00DA2F93">
        <w:rPr>
          <w:color w:val="000000" w:themeColor="text1"/>
        </w:rPr>
        <w:t xml:space="preserve">de la </w:t>
      </w:r>
      <w:r w:rsidR="00502B79">
        <w:rPr>
          <w:color w:val="000000" w:themeColor="text1"/>
        </w:rPr>
        <w:t>Convention de Raccordement et d’Exploitation</w:t>
      </w:r>
      <w:r w:rsidR="003A2F1D" w:rsidRPr="00DA2F93">
        <w:rPr>
          <w:color w:val="000000" w:themeColor="text1"/>
        </w:rPr>
        <w:t xml:space="preserve"> de l’Installation au réseau public de </w:t>
      </w:r>
      <w:r w:rsidR="003A3709">
        <w:rPr>
          <w:color w:val="000000" w:themeColor="text1"/>
        </w:rPr>
        <w:t>transport</w:t>
      </w:r>
      <w:r w:rsidR="00F51426">
        <w:rPr>
          <w:color w:val="000000" w:themeColor="text1"/>
        </w:rPr>
        <w:t> ;</w:t>
      </w:r>
    </w:p>
    <w:p w14:paraId="41E34EE6" w14:textId="273C5F13" w:rsidR="00B46607" w:rsidRPr="00DA2F93" w:rsidRDefault="002A15A0" w:rsidP="008544B3">
      <w:pPr>
        <w:pStyle w:val="Paragraphedeliste"/>
        <w:numPr>
          <w:ilvl w:val="0"/>
          <w:numId w:val="6"/>
        </w:numPr>
        <w:jc w:val="both"/>
        <w:rPr>
          <w:color w:val="000000" w:themeColor="text1"/>
        </w:rPr>
      </w:pPr>
      <w:r w:rsidRPr="00DA2F93">
        <w:rPr>
          <w:rFonts w:cs="Arial"/>
        </w:rPr>
        <w:t>Performances de l’</w:t>
      </w:r>
      <w:r w:rsidR="007322DC" w:rsidRPr="00DA2F93">
        <w:rPr>
          <w:rFonts w:cs="Arial"/>
        </w:rPr>
        <w:t>I</w:t>
      </w:r>
      <w:r w:rsidRPr="00DA2F93">
        <w:rPr>
          <w:rFonts w:cs="Arial"/>
        </w:rPr>
        <w:t>nstallation</w:t>
      </w:r>
      <w:r w:rsidR="00B46607" w:rsidRPr="00DA2F93">
        <w:rPr>
          <w:rFonts w:cs="Arial"/>
        </w:rPr>
        <w:t xml:space="preserve"> validé</w:t>
      </w:r>
      <w:r w:rsidRPr="00DA2F93">
        <w:rPr>
          <w:rFonts w:cs="Arial"/>
        </w:rPr>
        <w:t>e</w:t>
      </w:r>
      <w:r w:rsidR="00B46607" w:rsidRPr="00DA2F93">
        <w:rPr>
          <w:rFonts w:cs="Arial"/>
        </w:rPr>
        <w:t xml:space="preserve">s par le </w:t>
      </w:r>
      <w:r w:rsidR="00407422" w:rsidRPr="00DA2F93">
        <w:rPr>
          <w:rFonts w:cs="Arial"/>
        </w:rPr>
        <w:t>g</w:t>
      </w:r>
      <w:r w:rsidR="00B46607" w:rsidRPr="00DA2F93">
        <w:rPr>
          <w:rFonts w:cs="Arial"/>
        </w:rPr>
        <w:t xml:space="preserve">estionnaire du </w:t>
      </w:r>
      <w:r w:rsidR="00407422" w:rsidRPr="00DA2F93">
        <w:rPr>
          <w:rFonts w:cs="Arial"/>
        </w:rPr>
        <w:t>r</w:t>
      </w:r>
      <w:r w:rsidR="00B46607" w:rsidRPr="00DA2F93">
        <w:rPr>
          <w:rFonts w:cs="Arial"/>
        </w:rPr>
        <w:t>éseau</w:t>
      </w:r>
      <w:r w:rsidR="00CD22F4" w:rsidRPr="00DA2F93">
        <w:rPr>
          <w:rFonts w:cs="Arial"/>
        </w:rPr>
        <w:t xml:space="preserve"> public de </w:t>
      </w:r>
      <w:r w:rsidR="003A3709">
        <w:rPr>
          <w:rFonts w:cs="Arial"/>
        </w:rPr>
        <w:t>transport</w:t>
      </w:r>
      <w:r w:rsidR="00CD22F4" w:rsidRPr="00DA2F93">
        <w:rPr>
          <w:rFonts w:cs="Arial"/>
        </w:rPr>
        <w:t> </w:t>
      </w:r>
      <w:r w:rsidR="007A2513" w:rsidRPr="00DA2F93">
        <w:rPr>
          <w:rFonts w:cs="Arial"/>
        </w:rPr>
        <w:t>lors des essais (</w:t>
      </w:r>
      <w:r w:rsidR="007A2513" w:rsidRPr="00DA2F93">
        <w:rPr>
          <w:color w:val="000000" w:themeColor="text1"/>
        </w:rPr>
        <w:t xml:space="preserve">§ </w:t>
      </w:r>
      <w:r w:rsidR="00C71C22" w:rsidRPr="00DA2F93">
        <w:fldChar w:fldCharType="begin"/>
      </w:r>
      <w:r w:rsidR="00C71C22" w:rsidRPr="00DA2F93">
        <w:instrText xml:space="preserve"> REF _Ref422849232 \r \h  \* MERGEFORMAT </w:instrText>
      </w:r>
      <w:r w:rsidR="00C71C22" w:rsidRPr="00DA2F93">
        <w:fldChar w:fldCharType="separate"/>
      </w:r>
      <w:r w:rsidR="0042414D" w:rsidRPr="000243CB">
        <w:rPr>
          <w:color w:val="000000" w:themeColor="text1"/>
        </w:rPr>
        <w:t>20.1.1</w:t>
      </w:r>
      <w:r w:rsidR="00C71C22" w:rsidRPr="00DA2F93">
        <w:fldChar w:fldCharType="end"/>
      </w:r>
      <w:r w:rsidR="007A2513" w:rsidRPr="00DA2F93">
        <w:rPr>
          <w:color w:val="000000" w:themeColor="text1"/>
        </w:rPr>
        <w:t xml:space="preserve">) </w:t>
      </w:r>
      <w:r w:rsidR="00CD22F4" w:rsidRPr="00DA2F93">
        <w:rPr>
          <w:rFonts w:cs="Arial"/>
        </w:rPr>
        <w:t>;</w:t>
      </w:r>
    </w:p>
    <w:p w14:paraId="4856AD2A" w14:textId="77777777" w:rsidR="003A2F1D" w:rsidRPr="00DA2F93" w:rsidRDefault="00CD22F4" w:rsidP="008544B3">
      <w:pPr>
        <w:pStyle w:val="Paragraphedeliste"/>
        <w:numPr>
          <w:ilvl w:val="0"/>
          <w:numId w:val="6"/>
        </w:numPr>
        <w:jc w:val="both"/>
        <w:rPr>
          <w:rFonts w:cs="Arial"/>
        </w:rPr>
      </w:pPr>
      <w:r w:rsidRPr="00DA2F93">
        <w:rPr>
          <w:rFonts w:cs="Arial"/>
        </w:rPr>
        <w:t xml:space="preserve">Période des essais </w:t>
      </w:r>
      <w:r w:rsidR="007A2513" w:rsidRPr="00DA2F93">
        <w:rPr>
          <w:rFonts w:cs="Arial"/>
        </w:rPr>
        <w:t xml:space="preserve">y compris marche probatoire </w:t>
      </w:r>
      <w:r w:rsidRPr="00DA2F93">
        <w:rPr>
          <w:rFonts w:cs="Arial"/>
        </w:rPr>
        <w:t>écoulée.</w:t>
      </w:r>
    </w:p>
    <w:p w14:paraId="403DF568" w14:textId="6F22C4DA" w:rsidR="003A2F1D" w:rsidRPr="00DA2F93" w:rsidRDefault="003A2F1D" w:rsidP="005F13C6">
      <w:pPr>
        <w:ind w:left="1"/>
        <w:jc w:val="both"/>
        <w:rPr>
          <w:rFonts w:cs="Arial"/>
        </w:rPr>
      </w:pPr>
      <w:r w:rsidRPr="00DA2F93">
        <w:rPr>
          <w:rFonts w:cs="Arial"/>
        </w:rPr>
        <w:t xml:space="preserve">Le </w:t>
      </w:r>
      <w:r w:rsidR="00554628" w:rsidRPr="00DA2F93">
        <w:rPr>
          <w:rFonts w:cs="Arial"/>
        </w:rPr>
        <w:t>Stockeur</w:t>
      </w:r>
      <w:r w:rsidRPr="00DA2F93">
        <w:rPr>
          <w:rFonts w:cs="Arial"/>
        </w:rPr>
        <w:t xml:space="preserve"> peut prononcer la </w:t>
      </w:r>
      <w:r w:rsidR="007322DC" w:rsidRPr="00DA2F93">
        <w:rPr>
          <w:rFonts w:cs="Arial"/>
        </w:rPr>
        <w:t>M</w:t>
      </w:r>
      <w:r w:rsidRPr="00DA2F93">
        <w:rPr>
          <w:rFonts w:cs="Arial"/>
        </w:rPr>
        <w:t xml:space="preserve">ise en </w:t>
      </w:r>
      <w:r w:rsidR="007322DC" w:rsidRPr="00DA2F93">
        <w:rPr>
          <w:rFonts w:cs="Arial"/>
        </w:rPr>
        <w:t>S</w:t>
      </w:r>
      <w:r w:rsidRPr="00DA2F93">
        <w:rPr>
          <w:rFonts w:cs="Arial"/>
        </w:rPr>
        <w:t xml:space="preserve">ervice </w:t>
      </w:r>
      <w:r w:rsidR="00F71BC8">
        <w:rPr>
          <w:rFonts w:cs="Arial"/>
        </w:rPr>
        <w:t>Industrielle</w:t>
      </w:r>
      <w:r w:rsidRPr="00DA2F93">
        <w:rPr>
          <w:rFonts w:cs="Arial"/>
        </w:rPr>
        <w:t xml:space="preserve"> de son Installation, </w:t>
      </w:r>
      <w:r w:rsidRPr="00DA2F93">
        <w:rPr>
          <w:rFonts w:cs="Arial"/>
          <w:color w:val="000000" w:themeColor="text1"/>
        </w:rPr>
        <w:t xml:space="preserve">actée par procès-verbal entre le </w:t>
      </w:r>
      <w:r w:rsidR="00554628" w:rsidRPr="00DA2F93">
        <w:rPr>
          <w:rFonts w:cs="Arial"/>
          <w:color w:val="000000" w:themeColor="text1"/>
        </w:rPr>
        <w:t>Stockeur</w:t>
      </w:r>
      <w:r w:rsidRPr="00DA2F93">
        <w:rPr>
          <w:rFonts w:cs="Arial"/>
          <w:color w:val="000000" w:themeColor="text1"/>
        </w:rPr>
        <w:t xml:space="preserve"> et l</w:t>
      </w:r>
      <w:r w:rsidR="00673CB8" w:rsidRPr="00DA2F93">
        <w:rPr>
          <w:rFonts w:cs="Arial"/>
          <w:color w:val="000000" w:themeColor="text1"/>
        </w:rPr>
        <w:t xml:space="preserve">e </w:t>
      </w:r>
      <w:r w:rsidR="00B361C0">
        <w:rPr>
          <w:rFonts w:cs="Arial"/>
          <w:color w:val="000000" w:themeColor="text1"/>
        </w:rPr>
        <w:t>GRT</w:t>
      </w:r>
      <w:r w:rsidRPr="00DA2F93">
        <w:rPr>
          <w:rFonts w:cs="Arial"/>
          <w:color w:val="000000" w:themeColor="text1"/>
        </w:rPr>
        <w:t>.</w:t>
      </w:r>
    </w:p>
    <w:p w14:paraId="23FC65C2" w14:textId="77777777" w:rsidR="00020A41" w:rsidRPr="00DA2F93" w:rsidRDefault="00020A41" w:rsidP="000548E3">
      <w:pPr>
        <w:widowControl w:val="0"/>
        <w:autoSpaceDE w:val="0"/>
        <w:autoSpaceDN w:val="0"/>
        <w:adjustRightInd w:val="0"/>
        <w:ind w:right="3495"/>
        <w:jc w:val="both"/>
      </w:pPr>
    </w:p>
    <w:p w14:paraId="24D88830" w14:textId="77777777" w:rsidR="00972DDE" w:rsidRPr="00DA2F93" w:rsidRDefault="00972DDE" w:rsidP="00972DDE">
      <w:pPr>
        <w:pStyle w:val="EDFTitre1"/>
        <w:jc w:val="both"/>
      </w:pPr>
      <w:bookmarkStart w:id="377" w:name="_Toc394668292"/>
      <w:bookmarkStart w:id="378" w:name="_Toc108113980"/>
      <w:bookmarkStart w:id="379" w:name="_Toc110436496"/>
      <w:r w:rsidRPr="00DA2F93">
        <w:t>Essais</w:t>
      </w:r>
      <w:bookmarkEnd w:id="377"/>
      <w:bookmarkEnd w:id="378"/>
      <w:bookmarkEnd w:id="379"/>
      <w:r w:rsidRPr="00DA2F93">
        <w:t xml:space="preserve"> </w:t>
      </w:r>
    </w:p>
    <w:p w14:paraId="21ED6292" w14:textId="1CB77C14" w:rsidR="00972DDE" w:rsidRPr="00DA2F93" w:rsidRDefault="00972DDE" w:rsidP="00972DDE">
      <w:pPr>
        <w:pStyle w:val="EDFTitre2"/>
        <w:jc w:val="both"/>
      </w:pPr>
      <w:bookmarkStart w:id="380" w:name="_Toc394668293"/>
      <w:bookmarkStart w:id="381" w:name="_Toc108113981"/>
      <w:bookmarkStart w:id="382" w:name="_Toc110436497"/>
      <w:r w:rsidRPr="00DA2F93">
        <w:t xml:space="preserve">avant la mise en service </w:t>
      </w:r>
      <w:bookmarkEnd w:id="380"/>
      <w:r w:rsidR="00F71BC8">
        <w:t>industrielle</w:t>
      </w:r>
      <w:bookmarkEnd w:id="381"/>
      <w:bookmarkEnd w:id="382"/>
    </w:p>
    <w:p w14:paraId="2AEB394E" w14:textId="696E90BC" w:rsidR="007E5C27" w:rsidRPr="00DA2F93" w:rsidRDefault="00972DDE">
      <w:pPr>
        <w:pStyle w:val="EDFTitre3"/>
        <w:widowControl w:val="0"/>
        <w:autoSpaceDE w:val="0"/>
        <w:autoSpaceDN w:val="0"/>
        <w:adjustRightInd w:val="0"/>
        <w:ind w:right="55"/>
        <w:jc w:val="both"/>
      </w:pPr>
      <w:bookmarkStart w:id="383" w:name="_Toc394668294"/>
      <w:bookmarkStart w:id="384" w:name="_Ref422849232"/>
      <w:bookmarkStart w:id="385" w:name="_Toc108113982"/>
      <w:bookmarkStart w:id="386" w:name="_Toc110436498"/>
      <w:r w:rsidRPr="00DA2F93">
        <w:t xml:space="preserve">Concertation entre le </w:t>
      </w:r>
      <w:r w:rsidR="00554628" w:rsidRPr="00DA2F93">
        <w:t>Stockeur</w:t>
      </w:r>
      <w:r w:rsidRPr="00DA2F93">
        <w:t xml:space="preserve"> et l</w:t>
      </w:r>
      <w:r w:rsidR="00673CB8" w:rsidRPr="00DA2F93">
        <w:t xml:space="preserve">e </w:t>
      </w:r>
      <w:r w:rsidR="00B361C0">
        <w:t>GRT</w:t>
      </w:r>
      <w:r w:rsidRPr="00DA2F93">
        <w:t xml:space="preserve"> pendant la période des essais</w:t>
      </w:r>
      <w:bookmarkEnd w:id="383"/>
      <w:bookmarkEnd w:id="384"/>
      <w:bookmarkEnd w:id="385"/>
      <w:bookmarkEnd w:id="386"/>
    </w:p>
    <w:p w14:paraId="1D023D01" w14:textId="3BC8E33E" w:rsidR="00573A74" w:rsidRPr="00DA2F93" w:rsidRDefault="00573A74" w:rsidP="00573A74">
      <w:pPr>
        <w:jc w:val="both"/>
        <w:rPr>
          <w:rFonts w:cs="Arial"/>
          <w:color w:val="000000" w:themeColor="text1"/>
        </w:rPr>
      </w:pPr>
      <w:r w:rsidRPr="00DA2F93">
        <w:rPr>
          <w:rFonts w:cs="Arial"/>
          <w:color w:val="000000" w:themeColor="text1"/>
        </w:rPr>
        <w:t xml:space="preserve">La période d’essais permet au </w:t>
      </w:r>
      <w:r w:rsidR="00554628" w:rsidRPr="00DA2F93">
        <w:rPr>
          <w:rFonts w:cs="Arial"/>
          <w:color w:val="000000" w:themeColor="text1"/>
        </w:rPr>
        <w:t>Stockeur</w:t>
      </w:r>
      <w:r w:rsidRPr="00DA2F93">
        <w:rPr>
          <w:rFonts w:cs="Arial"/>
          <w:color w:val="000000" w:themeColor="text1"/>
        </w:rPr>
        <w:t xml:space="preserve"> d'effectuer les essais nécessaires au contrôle du bon fonctionnement de l’Installation, y compris en injectant </w:t>
      </w:r>
      <w:r w:rsidR="005F13C6" w:rsidRPr="00DA2F93">
        <w:rPr>
          <w:rFonts w:cs="Arial"/>
          <w:color w:val="000000" w:themeColor="text1"/>
        </w:rPr>
        <w:t xml:space="preserve">et soutirant </w:t>
      </w:r>
      <w:r w:rsidRPr="00DA2F93">
        <w:rPr>
          <w:rFonts w:cs="Arial"/>
          <w:color w:val="000000" w:themeColor="text1"/>
        </w:rPr>
        <w:t xml:space="preserve">de l’électricité sur le réseau public de </w:t>
      </w:r>
      <w:r w:rsidR="003A3709">
        <w:rPr>
          <w:rFonts w:cs="Arial"/>
          <w:color w:val="000000" w:themeColor="text1"/>
        </w:rPr>
        <w:t>transport</w:t>
      </w:r>
      <w:r w:rsidRPr="00DA2F93">
        <w:rPr>
          <w:rFonts w:cs="Arial"/>
          <w:color w:val="000000" w:themeColor="text1"/>
        </w:rPr>
        <w:t xml:space="preserve">. Elle permet également de vérifier la capacité de l’Installation à fonctionner en régime continu </w:t>
      </w:r>
      <w:r w:rsidR="003C33AC" w:rsidRPr="00DA2F93">
        <w:rPr>
          <w:rFonts w:cs="Arial"/>
          <w:color w:val="000000" w:themeColor="text1"/>
        </w:rPr>
        <w:t>sans défaut et sans perturber le système électrique.</w:t>
      </w:r>
    </w:p>
    <w:p w14:paraId="79EB16C4" w14:textId="77777777" w:rsidR="003C33AC" w:rsidRPr="00DA2F93" w:rsidRDefault="003C33AC" w:rsidP="00573A74">
      <w:pPr>
        <w:jc w:val="both"/>
        <w:rPr>
          <w:rFonts w:cs="Arial"/>
          <w:color w:val="000000" w:themeColor="text1"/>
        </w:rPr>
      </w:pPr>
    </w:p>
    <w:p w14:paraId="4AD56160" w14:textId="77777777" w:rsidR="00573A74" w:rsidRPr="00DA2F93" w:rsidRDefault="00573A74" w:rsidP="00573A74">
      <w:pPr>
        <w:jc w:val="both"/>
        <w:rPr>
          <w:rFonts w:cs="Arial"/>
          <w:color w:val="000000" w:themeColor="text1"/>
        </w:rPr>
      </w:pPr>
      <w:r w:rsidRPr="00DA2F93">
        <w:rPr>
          <w:rFonts w:cs="Arial"/>
          <w:color w:val="000000" w:themeColor="text1"/>
        </w:rPr>
        <w:t>La période d’essais peut commencer quand les conditions suivantes sont réunies :</w:t>
      </w:r>
    </w:p>
    <w:p w14:paraId="77058999" w14:textId="6C773AC9" w:rsidR="00573A74" w:rsidRPr="00DA2F93" w:rsidRDefault="00573A74" w:rsidP="008544B3">
      <w:pPr>
        <w:pStyle w:val="Paragraphedeliste"/>
        <w:numPr>
          <w:ilvl w:val="0"/>
          <w:numId w:val="6"/>
        </w:numPr>
        <w:jc w:val="both"/>
        <w:rPr>
          <w:rFonts w:cs="Arial"/>
          <w:color w:val="000000" w:themeColor="text1"/>
        </w:rPr>
      </w:pPr>
      <w:r w:rsidRPr="00DA2F93">
        <w:rPr>
          <w:rFonts w:cs="Arial"/>
          <w:color w:val="000000" w:themeColor="text1"/>
        </w:rPr>
        <w:t xml:space="preserve">Le </w:t>
      </w:r>
      <w:r w:rsidR="00554628" w:rsidRPr="00DA2F93">
        <w:rPr>
          <w:rFonts w:cs="Arial"/>
          <w:color w:val="000000" w:themeColor="text1"/>
        </w:rPr>
        <w:t>Stockeur</w:t>
      </w:r>
      <w:r w:rsidRPr="00DA2F93">
        <w:rPr>
          <w:rFonts w:cs="Arial"/>
          <w:color w:val="000000" w:themeColor="text1"/>
        </w:rPr>
        <w:t xml:space="preserve"> et l</w:t>
      </w:r>
      <w:r w:rsidR="00673CB8" w:rsidRPr="00DA2F93">
        <w:rPr>
          <w:rFonts w:cs="Arial"/>
          <w:color w:val="000000" w:themeColor="text1"/>
        </w:rPr>
        <w:t xml:space="preserve">e </w:t>
      </w:r>
      <w:r w:rsidR="00B361C0">
        <w:rPr>
          <w:rFonts w:cs="Arial"/>
          <w:color w:val="000000" w:themeColor="text1"/>
        </w:rPr>
        <w:t>GRT</w:t>
      </w:r>
      <w:r w:rsidRPr="00DA2F93">
        <w:rPr>
          <w:rFonts w:cs="Arial"/>
          <w:color w:val="000000" w:themeColor="text1"/>
        </w:rPr>
        <w:t xml:space="preserve"> constatent formellement ensemble et d’un commun accord que l’Installation est en état </w:t>
      </w:r>
      <w:r w:rsidR="00962CBD">
        <w:rPr>
          <w:rFonts w:cs="Arial"/>
          <w:color w:val="000000" w:themeColor="text1"/>
        </w:rPr>
        <w:t>d’injecte</w:t>
      </w:r>
      <w:r w:rsidRPr="00DA2F93">
        <w:rPr>
          <w:rFonts w:cs="Arial"/>
          <w:color w:val="000000" w:themeColor="text1"/>
        </w:rPr>
        <w:t xml:space="preserve">r </w:t>
      </w:r>
      <w:r w:rsidR="005F13C6" w:rsidRPr="00DA2F93">
        <w:rPr>
          <w:rFonts w:cs="Arial"/>
          <w:color w:val="000000" w:themeColor="text1"/>
        </w:rPr>
        <w:t xml:space="preserve">et soutirer </w:t>
      </w:r>
      <w:r w:rsidRPr="00DA2F93">
        <w:rPr>
          <w:rFonts w:cs="Arial"/>
          <w:color w:val="000000" w:themeColor="text1"/>
        </w:rPr>
        <w:t>sur</w:t>
      </w:r>
      <w:r w:rsidR="00987B0E" w:rsidRPr="00DA2F93">
        <w:rPr>
          <w:rFonts w:cs="Arial"/>
          <w:color w:val="000000" w:themeColor="text1"/>
        </w:rPr>
        <w:t xml:space="preserve"> le réseau </w:t>
      </w:r>
      <w:r w:rsidR="00CC6CB6" w:rsidRPr="00DA2F93">
        <w:rPr>
          <w:rFonts w:cs="Arial"/>
          <w:color w:val="000000" w:themeColor="text1"/>
        </w:rPr>
        <w:t>auquel elle est raccordée </w:t>
      </w:r>
      <w:r w:rsidRPr="00DA2F93">
        <w:rPr>
          <w:rFonts w:cs="Arial"/>
          <w:color w:val="000000" w:themeColor="text1"/>
        </w:rPr>
        <w:t>;</w:t>
      </w:r>
    </w:p>
    <w:p w14:paraId="2A7C97BD" w14:textId="5FBE4E81" w:rsidR="00CC6CB6" w:rsidRPr="00DA2F93" w:rsidRDefault="00573A74" w:rsidP="008544B3">
      <w:pPr>
        <w:pStyle w:val="Paragraphedeliste"/>
        <w:numPr>
          <w:ilvl w:val="0"/>
          <w:numId w:val="6"/>
        </w:numPr>
        <w:jc w:val="both"/>
        <w:rPr>
          <w:rFonts w:cs="Arial"/>
          <w:color w:val="000000" w:themeColor="text1"/>
        </w:rPr>
      </w:pPr>
      <w:r w:rsidRPr="00DA2F93">
        <w:rPr>
          <w:rFonts w:cs="Arial"/>
          <w:color w:val="000000" w:themeColor="text1"/>
        </w:rPr>
        <w:t xml:space="preserve">Le </w:t>
      </w:r>
      <w:r w:rsidR="00554628" w:rsidRPr="00DA2F93">
        <w:rPr>
          <w:rFonts w:cs="Arial"/>
          <w:color w:val="000000" w:themeColor="text1"/>
        </w:rPr>
        <w:t>Stockeur</w:t>
      </w:r>
      <w:r w:rsidRPr="00DA2F93">
        <w:rPr>
          <w:rFonts w:cs="Arial"/>
          <w:color w:val="000000" w:themeColor="text1"/>
        </w:rPr>
        <w:t xml:space="preserve"> a obtenu les autorisations administratives nécessaires</w:t>
      </w:r>
      <w:r w:rsidR="009A0687">
        <w:rPr>
          <w:rFonts w:cs="Arial"/>
          <w:color w:val="000000" w:themeColor="text1"/>
        </w:rPr>
        <w:t> ;</w:t>
      </w:r>
    </w:p>
    <w:p w14:paraId="08D5E988" w14:textId="24C29898" w:rsidR="00573A74" w:rsidRPr="00DA2F93" w:rsidRDefault="00CC6CB6" w:rsidP="008544B3">
      <w:pPr>
        <w:pStyle w:val="Paragraphedeliste"/>
        <w:numPr>
          <w:ilvl w:val="0"/>
          <w:numId w:val="6"/>
        </w:numPr>
        <w:jc w:val="both"/>
        <w:rPr>
          <w:rFonts w:cs="Arial"/>
          <w:color w:val="000000" w:themeColor="text1"/>
        </w:rPr>
      </w:pPr>
      <w:r w:rsidRPr="00DA2F93">
        <w:rPr>
          <w:rFonts w:cs="Arial"/>
          <w:color w:val="000000" w:themeColor="text1"/>
        </w:rPr>
        <w:t>Le Stockeur a obtenu</w:t>
      </w:r>
      <w:r w:rsidR="00962CBD">
        <w:rPr>
          <w:rFonts w:cs="Arial"/>
          <w:color w:val="000000" w:themeColor="text1"/>
        </w:rPr>
        <w:t xml:space="preserve"> </w:t>
      </w:r>
      <w:r w:rsidR="00573A74" w:rsidRPr="00DA2F93">
        <w:rPr>
          <w:rFonts w:cs="Arial"/>
          <w:color w:val="000000" w:themeColor="text1"/>
        </w:rPr>
        <w:t>l’autorisation form</w:t>
      </w:r>
      <w:r w:rsidR="00987B0E" w:rsidRPr="00DA2F93">
        <w:rPr>
          <w:rFonts w:cs="Arial"/>
          <w:color w:val="000000" w:themeColor="text1"/>
        </w:rPr>
        <w:t xml:space="preserve">elle </w:t>
      </w:r>
      <w:r w:rsidR="00962CBD">
        <w:rPr>
          <w:rFonts w:cs="Arial"/>
          <w:color w:val="000000" w:themeColor="text1"/>
        </w:rPr>
        <w:t>d’injecter</w:t>
      </w:r>
      <w:r w:rsidR="00987B0E" w:rsidRPr="00DA2F93">
        <w:rPr>
          <w:rFonts w:cs="Arial"/>
          <w:color w:val="000000" w:themeColor="text1"/>
        </w:rPr>
        <w:t xml:space="preserve"> </w:t>
      </w:r>
      <w:r w:rsidR="005F13C6" w:rsidRPr="00DA2F93">
        <w:rPr>
          <w:rFonts w:cs="Arial"/>
          <w:color w:val="000000" w:themeColor="text1"/>
        </w:rPr>
        <w:t xml:space="preserve">et soutirer </w:t>
      </w:r>
      <w:r w:rsidR="00987B0E" w:rsidRPr="00DA2F93">
        <w:rPr>
          <w:rFonts w:cs="Arial"/>
          <w:color w:val="000000" w:themeColor="text1"/>
        </w:rPr>
        <w:t xml:space="preserve">sur le réseau </w:t>
      </w:r>
      <w:r w:rsidR="00573A74" w:rsidRPr="00DA2F93">
        <w:rPr>
          <w:rFonts w:cs="Arial"/>
          <w:color w:val="000000" w:themeColor="text1"/>
        </w:rPr>
        <w:t xml:space="preserve">de la part du gestionnaire du réseau public de </w:t>
      </w:r>
      <w:r w:rsidR="003A3709">
        <w:rPr>
          <w:rFonts w:cs="Arial"/>
          <w:color w:val="000000" w:themeColor="text1"/>
        </w:rPr>
        <w:t>transport</w:t>
      </w:r>
      <w:r w:rsidR="00573A74" w:rsidRPr="00DA2F93">
        <w:rPr>
          <w:rFonts w:cs="Arial"/>
          <w:color w:val="000000" w:themeColor="text1"/>
        </w:rPr>
        <w:t xml:space="preserve"> à travers le raccordement définitif de l’Installation ou à travers un raccordement provisoire.</w:t>
      </w:r>
    </w:p>
    <w:p w14:paraId="116CBEE8" w14:textId="77777777" w:rsidR="00573A74" w:rsidRPr="00DA2F93" w:rsidRDefault="00573A74" w:rsidP="00573A74">
      <w:pPr>
        <w:rPr>
          <w:szCs w:val="24"/>
        </w:rPr>
      </w:pPr>
      <w:r w:rsidRPr="00DA2F93">
        <w:rPr>
          <w:szCs w:val="24"/>
        </w:rPr>
        <w:t xml:space="preserve">Un </w:t>
      </w:r>
      <w:proofErr w:type="spellStart"/>
      <w:r w:rsidRPr="00DA2F93">
        <w:rPr>
          <w:szCs w:val="24"/>
        </w:rPr>
        <w:t>procès verbal</w:t>
      </w:r>
      <w:proofErr w:type="spellEnd"/>
      <w:r w:rsidRPr="00DA2F93">
        <w:rPr>
          <w:szCs w:val="24"/>
        </w:rPr>
        <w:t xml:space="preserve"> co-signé par les Parties constate que les conditions ci-dessus sont réunies.</w:t>
      </w:r>
    </w:p>
    <w:p w14:paraId="13E47C1D" w14:textId="79D0AF13" w:rsidR="00573A74" w:rsidRPr="00DA2F93" w:rsidRDefault="00573A74" w:rsidP="00573A74">
      <w:pPr>
        <w:jc w:val="both"/>
        <w:rPr>
          <w:rFonts w:cs="Arial"/>
          <w:color w:val="000000"/>
          <w:lang w:eastAsia="fr-FR"/>
        </w:rPr>
      </w:pPr>
      <w:r w:rsidRPr="00DA2F93">
        <w:rPr>
          <w:rFonts w:cs="Arial"/>
          <w:color w:val="000000"/>
          <w:lang w:eastAsia="fr-FR"/>
        </w:rPr>
        <w:t xml:space="preserve">Le </w:t>
      </w:r>
      <w:r w:rsidR="00554628" w:rsidRPr="00DA2F93">
        <w:rPr>
          <w:rFonts w:cs="Arial"/>
          <w:color w:val="000000"/>
          <w:lang w:eastAsia="fr-FR"/>
        </w:rPr>
        <w:t>Stockeur</w:t>
      </w:r>
      <w:r w:rsidRPr="00DA2F93">
        <w:rPr>
          <w:rFonts w:cs="Arial"/>
          <w:color w:val="000000"/>
          <w:lang w:eastAsia="fr-FR"/>
        </w:rPr>
        <w:t xml:space="preserve"> peut alors, à la date de son choix convenue avec l</w:t>
      </w:r>
      <w:r w:rsidR="00673CB8" w:rsidRPr="00DA2F93">
        <w:rPr>
          <w:rFonts w:cs="Arial"/>
          <w:color w:val="000000"/>
          <w:lang w:eastAsia="fr-FR"/>
        </w:rPr>
        <w:t xml:space="preserve">e </w:t>
      </w:r>
      <w:r w:rsidR="00B361C0">
        <w:rPr>
          <w:rFonts w:cs="Arial"/>
          <w:color w:val="000000"/>
          <w:lang w:eastAsia="fr-FR"/>
        </w:rPr>
        <w:t>GRT</w:t>
      </w:r>
      <w:r w:rsidRPr="00DA2F93">
        <w:rPr>
          <w:rFonts w:cs="Arial"/>
          <w:color w:val="000000"/>
          <w:lang w:eastAsia="fr-FR"/>
        </w:rPr>
        <w:t xml:space="preserve">, procéder à un premier couplage. Le premier couplage réussi de l’Installation, réalisé par le </w:t>
      </w:r>
      <w:r w:rsidR="00554628" w:rsidRPr="00DA2F93">
        <w:rPr>
          <w:rFonts w:cs="Arial"/>
          <w:color w:val="000000"/>
          <w:lang w:eastAsia="fr-FR"/>
        </w:rPr>
        <w:t>Stockeur</w:t>
      </w:r>
      <w:r w:rsidRPr="00DA2F93">
        <w:rPr>
          <w:rFonts w:ascii="Times New Roman" w:hAnsi="Times New Roman"/>
          <w:color w:val="000000"/>
          <w:lang w:eastAsia="fr-FR"/>
        </w:rPr>
        <w:t>,</w:t>
      </w:r>
      <w:r w:rsidRPr="00DA2F93">
        <w:rPr>
          <w:rFonts w:cs="Arial"/>
          <w:color w:val="000000"/>
          <w:lang w:eastAsia="fr-FR"/>
        </w:rPr>
        <w:t xml:space="preserve"> détermine la date de démarrage de la période d’essais. Le planning prévisionnel des essais est notifié par le </w:t>
      </w:r>
      <w:r w:rsidR="00554628" w:rsidRPr="00DA2F93">
        <w:rPr>
          <w:rFonts w:cs="Arial"/>
          <w:color w:val="000000"/>
          <w:lang w:eastAsia="fr-FR"/>
        </w:rPr>
        <w:t>Stockeur</w:t>
      </w:r>
      <w:r w:rsidRPr="00DA2F93">
        <w:rPr>
          <w:rFonts w:cs="Arial"/>
          <w:color w:val="000000"/>
          <w:lang w:eastAsia="fr-FR"/>
        </w:rPr>
        <w:t xml:space="preserve"> </w:t>
      </w:r>
      <w:r w:rsidR="00673CB8" w:rsidRPr="00DA2F93">
        <w:rPr>
          <w:rFonts w:cs="Arial"/>
          <w:color w:val="000000"/>
          <w:lang w:eastAsia="fr-FR"/>
        </w:rPr>
        <w:t xml:space="preserve">au </w:t>
      </w:r>
      <w:r w:rsidR="00B361C0">
        <w:rPr>
          <w:rFonts w:cs="Arial"/>
          <w:color w:val="000000"/>
          <w:lang w:eastAsia="fr-FR"/>
        </w:rPr>
        <w:t>GRT</w:t>
      </w:r>
      <w:r w:rsidR="00673CB8" w:rsidRPr="00DA2F93">
        <w:rPr>
          <w:rFonts w:cs="Arial"/>
          <w:color w:val="000000"/>
          <w:lang w:eastAsia="fr-FR"/>
        </w:rPr>
        <w:t xml:space="preserve"> </w:t>
      </w:r>
      <w:r w:rsidRPr="00DA2F93">
        <w:rPr>
          <w:rFonts w:cs="Arial"/>
          <w:color w:val="000000"/>
          <w:lang w:eastAsia="fr-FR"/>
        </w:rPr>
        <w:t>au moins deux semaines à l’avance.</w:t>
      </w:r>
    </w:p>
    <w:p w14:paraId="3F7A0FFE" w14:textId="77777777" w:rsidR="00573A74" w:rsidRPr="00DA2F93" w:rsidRDefault="00573A74" w:rsidP="00573A74">
      <w:pPr>
        <w:rPr>
          <w:szCs w:val="24"/>
        </w:rPr>
      </w:pPr>
      <w:r w:rsidRPr="00DA2F93">
        <w:rPr>
          <w:szCs w:val="24"/>
        </w:rPr>
        <w:t xml:space="preserve">Un </w:t>
      </w:r>
      <w:proofErr w:type="spellStart"/>
      <w:r w:rsidRPr="00DA2F93">
        <w:rPr>
          <w:szCs w:val="24"/>
        </w:rPr>
        <w:t>procès verbal</w:t>
      </w:r>
      <w:proofErr w:type="spellEnd"/>
      <w:r w:rsidRPr="00DA2F93">
        <w:rPr>
          <w:szCs w:val="24"/>
        </w:rPr>
        <w:t xml:space="preserve"> co-signé par les Parties constate que la période d’essais a démarré.</w:t>
      </w:r>
    </w:p>
    <w:p w14:paraId="48C46A99" w14:textId="5A7968A2" w:rsidR="00A31419" w:rsidRPr="00DA2F93" w:rsidRDefault="00A31419" w:rsidP="00A31419">
      <w:pPr>
        <w:jc w:val="both"/>
        <w:rPr>
          <w:color w:val="000000" w:themeColor="text1"/>
        </w:rPr>
      </w:pPr>
      <w:r w:rsidRPr="00DA2F93">
        <w:rPr>
          <w:color w:val="000000" w:themeColor="text1"/>
        </w:rPr>
        <w:t xml:space="preserve">La durée prévisionnelle des essais est estimée par le </w:t>
      </w:r>
      <w:r w:rsidR="00554628" w:rsidRPr="00DA2F93">
        <w:rPr>
          <w:color w:val="000000" w:themeColor="text1"/>
        </w:rPr>
        <w:t>Stockeur</w:t>
      </w:r>
      <w:r w:rsidRPr="00DA2F93">
        <w:rPr>
          <w:color w:val="000000" w:themeColor="text1"/>
        </w:rPr>
        <w:t xml:space="preserve"> à </w:t>
      </w:r>
      <w:r w:rsidR="00B274E1" w:rsidRPr="00DA2F93">
        <w:rPr>
          <w:color w:val="000000" w:themeColor="text1"/>
        </w:rPr>
        <w:t>1</w:t>
      </w:r>
      <w:r w:rsidR="002E09EF" w:rsidRPr="00DA2F93">
        <w:rPr>
          <w:color w:val="000000" w:themeColor="text1"/>
        </w:rPr>
        <w:t xml:space="preserve"> </w:t>
      </w:r>
      <w:r w:rsidRPr="00DA2F93">
        <w:rPr>
          <w:color w:val="000000" w:themeColor="text1"/>
        </w:rPr>
        <w:t>mois</w:t>
      </w:r>
      <w:r w:rsidR="007559F7">
        <w:rPr>
          <w:color w:val="000000" w:themeColor="text1"/>
        </w:rPr>
        <w:t xml:space="preserve"> </w:t>
      </w:r>
      <w:r w:rsidR="007559F7" w:rsidRPr="000243CB">
        <w:rPr>
          <w:color w:val="000000" w:themeColor="text1"/>
          <w:highlight w:val="lightGray"/>
        </w:rPr>
        <w:t xml:space="preserve">[ou </w:t>
      </w:r>
      <w:commentRangeStart w:id="387"/>
      <w:r w:rsidR="007559F7" w:rsidRPr="000243CB">
        <w:rPr>
          <w:color w:val="000000" w:themeColor="text1"/>
          <w:highlight w:val="lightGray"/>
        </w:rPr>
        <w:t>XXX</w:t>
      </w:r>
      <w:commentRangeEnd w:id="387"/>
      <w:r w:rsidR="00FC2966">
        <w:rPr>
          <w:rStyle w:val="Marquedecommentaire"/>
        </w:rPr>
        <w:commentReference w:id="387"/>
      </w:r>
      <w:r w:rsidR="007559F7" w:rsidRPr="000243CB">
        <w:rPr>
          <w:color w:val="000000" w:themeColor="text1"/>
          <w:highlight w:val="lightGray"/>
        </w:rPr>
        <w:t>].</w:t>
      </w:r>
    </w:p>
    <w:p w14:paraId="323A5BEE" w14:textId="77777777" w:rsidR="00573A74" w:rsidRPr="00DA2F93" w:rsidRDefault="00573A74" w:rsidP="000548E3">
      <w:pPr>
        <w:jc w:val="both"/>
      </w:pPr>
    </w:p>
    <w:p w14:paraId="03E585F7" w14:textId="06FA54EB" w:rsidR="00ED0D0E" w:rsidRPr="00DA2F93" w:rsidRDefault="00D71669" w:rsidP="00ED0D0E">
      <w:pPr>
        <w:jc w:val="both"/>
      </w:pPr>
      <w:r w:rsidRPr="00DA2F93">
        <w:rPr>
          <w:rFonts w:cs="Arial"/>
        </w:rPr>
        <w:t xml:space="preserve">Pendant cette période, le </w:t>
      </w:r>
      <w:r w:rsidR="00554628" w:rsidRPr="00DA2F93">
        <w:rPr>
          <w:rFonts w:cs="Arial"/>
        </w:rPr>
        <w:t>Stockeur</w:t>
      </w:r>
      <w:r w:rsidRPr="00DA2F93">
        <w:rPr>
          <w:rFonts w:cs="Arial"/>
        </w:rPr>
        <w:t xml:space="preserve"> et l</w:t>
      </w:r>
      <w:r w:rsidR="00673CB8" w:rsidRPr="00DA2F93">
        <w:rPr>
          <w:rFonts w:cs="Arial"/>
        </w:rPr>
        <w:t xml:space="preserve">e </w:t>
      </w:r>
      <w:r w:rsidR="00B361C0">
        <w:rPr>
          <w:rFonts w:cs="Arial"/>
        </w:rPr>
        <w:t>GRT</w:t>
      </w:r>
      <w:r w:rsidRPr="00DA2F93">
        <w:rPr>
          <w:rFonts w:cs="Arial"/>
        </w:rPr>
        <w:t xml:space="preserve"> se coordonnent de façon régulière afin de permettre au </w:t>
      </w:r>
      <w:r w:rsidR="00554628" w:rsidRPr="00DA2F93">
        <w:rPr>
          <w:rFonts w:cs="Arial"/>
        </w:rPr>
        <w:t>Stockeur</w:t>
      </w:r>
      <w:r w:rsidRPr="00DA2F93">
        <w:rPr>
          <w:rFonts w:cs="Arial"/>
        </w:rPr>
        <w:t xml:space="preserve"> la réalisation des essais. Les réunions de coordination entre l</w:t>
      </w:r>
      <w:r w:rsidR="00673CB8" w:rsidRPr="00DA2F93">
        <w:rPr>
          <w:rFonts w:cs="Arial"/>
        </w:rPr>
        <w:t xml:space="preserve">e </w:t>
      </w:r>
      <w:r w:rsidR="00B361C0">
        <w:rPr>
          <w:rFonts w:cs="Arial"/>
        </w:rPr>
        <w:t>GRT</w:t>
      </w:r>
      <w:r w:rsidRPr="00DA2F93">
        <w:rPr>
          <w:rFonts w:cs="Arial"/>
        </w:rPr>
        <w:t xml:space="preserve"> et le </w:t>
      </w:r>
      <w:r w:rsidR="00554628" w:rsidRPr="00DA2F93">
        <w:rPr>
          <w:rFonts w:cs="Arial"/>
        </w:rPr>
        <w:t>Stockeur</w:t>
      </w:r>
      <w:r w:rsidRPr="00DA2F93">
        <w:rPr>
          <w:rFonts w:cs="Arial"/>
        </w:rPr>
        <w:t xml:space="preserve"> sont organisées à l’initiative du </w:t>
      </w:r>
      <w:r w:rsidR="00554628" w:rsidRPr="00DA2F93">
        <w:rPr>
          <w:rFonts w:cs="Arial"/>
        </w:rPr>
        <w:t>Stockeur</w:t>
      </w:r>
      <w:r w:rsidRPr="00DA2F93">
        <w:rPr>
          <w:rFonts w:cs="Arial"/>
        </w:rPr>
        <w:t>, et l</w:t>
      </w:r>
      <w:r w:rsidR="00673CB8" w:rsidRPr="00DA2F93">
        <w:rPr>
          <w:rFonts w:cs="Arial"/>
        </w:rPr>
        <w:t xml:space="preserve">e </w:t>
      </w:r>
      <w:r w:rsidR="00B361C0">
        <w:rPr>
          <w:rFonts w:cs="Arial"/>
        </w:rPr>
        <w:t>GRT</w:t>
      </w:r>
      <w:r w:rsidRPr="00DA2F93">
        <w:rPr>
          <w:rFonts w:cs="Arial"/>
        </w:rPr>
        <w:t xml:space="preserve"> s’engage à y assister et à faire ses meilleurs efforts pour permettre au </w:t>
      </w:r>
      <w:r w:rsidR="00554628" w:rsidRPr="00DA2F93">
        <w:rPr>
          <w:rFonts w:cs="Arial"/>
        </w:rPr>
        <w:t>Stockeur</w:t>
      </w:r>
      <w:r w:rsidRPr="00DA2F93">
        <w:rPr>
          <w:rFonts w:cs="Arial"/>
        </w:rPr>
        <w:t xml:space="preserve"> la réalisation des essais, y compris, si besoin, en demandant la modification du programme </w:t>
      </w:r>
      <w:r w:rsidR="00577143" w:rsidRPr="00DA2F93">
        <w:rPr>
          <w:rFonts w:cs="Arial"/>
        </w:rPr>
        <w:t>de production</w:t>
      </w:r>
      <w:r w:rsidRPr="00DA2F93">
        <w:rPr>
          <w:rFonts w:cs="Arial"/>
        </w:rPr>
        <w:t xml:space="preserve"> des autre</w:t>
      </w:r>
      <w:r w:rsidR="00603120" w:rsidRPr="00DA2F93">
        <w:rPr>
          <w:rFonts w:cs="Arial"/>
        </w:rPr>
        <w:t>s centrales électriques</w:t>
      </w:r>
      <w:r w:rsidRPr="00DA2F93">
        <w:rPr>
          <w:rFonts w:cs="Arial"/>
        </w:rPr>
        <w:t>.</w:t>
      </w:r>
      <w:r w:rsidRPr="00DA2F93">
        <w:t xml:space="preserve"> </w:t>
      </w:r>
    </w:p>
    <w:p w14:paraId="175119AB" w14:textId="0F0C6A91" w:rsidR="00ED0D0E" w:rsidRPr="00DA2F93" w:rsidRDefault="00ED0D0E" w:rsidP="00ED0D0E">
      <w:pPr>
        <w:jc w:val="both"/>
        <w:rPr>
          <w:bCs/>
        </w:rPr>
      </w:pPr>
      <w:r w:rsidRPr="00DA2F93">
        <w:rPr>
          <w:bCs/>
        </w:rPr>
        <w:t xml:space="preserve">Pendant cette période, le </w:t>
      </w:r>
      <w:r w:rsidR="00554628" w:rsidRPr="00DA2F93">
        <w:rPr>
          <w:bCs/>
        </w:rPr>
        <w:t>Stockeur</w:t>
      </w:r>
      <w:r w:rsidRPr="00DA2F93">
        <w:rPr>
          <w:bCs/>
        </w:rPr>
        <w:t xml:space="preserve"> réalise les essais </w:t>
      </w:r>
      <w:r w:rsidRPr="00DA2F93">
        <w:rPr>
          <w:rFonts w:cs="Arial"/>
        </w:rPr>
        <w:t>de conformité de l’</w:t>
      </w:r>
      <w:r w:rsidR="007322DC" w:rsidRPr="00DA2F93">
        <w:rPr>
          <w:rFonts w:cs="Arial"/>
        </w:rPr>
        <w:t>I</w:t>
      </w:r>
      <w:r w:rsidRPr="00DA2F93">
        <w:rPr>
          <w:rFonts w:cs="Arial"/>
        </w:rPr>
        <w:t xml:space="preserve">nstallation aux spécifications </w:t>
      </w:r>
      <w:r w:rsidR="00D14BF4" w:rsidRPr="00DA2F93">
        <w:rPr>
          <w:rFonts w:cs="Arial"/>
        </w:rPr>
        <w:t xml:space="preserve">du gestionnaire du réseau public de </w:t>
      </w:r>
      <w:r w:rsidR="003A3709">
        <w:rPr>
          <w:rFonts w:cs="Arial"/>
        </w:rPr>
        <w:t>transport</w:t>
      </w:r>
      <w:r w:rsidR="0076571E" w:rsidRPr="00DA2F93">
        <w:rPr>
          <w:rFonts w:cs="Arial"/>
        </w:rPr>
        <w:t xml:space="preserve"> </w:t>
      </w:r>
      <w:r w:rsidRPr="00DA2F93">
        <w:rPr>
          <w:rFonts w:cs="Arial"/>
        </w:rPr>
        <w:t xml:space="preserve">et établit le </w:t>
      </w:r>
      <w:r w:rsidR="007A2513" w:rsidRPr="00DA2F93">
        <w:rPr>
          <w:rFonts w:cs="Arial"/>
        </w:rPr>
        <w:t>R</w:t>
      </w:r>
      <w:r w:rsidR="005F13C6" w:rsidRPr="00DA2F93">
        <w:rPr>
          <w:rFonts w:cs="Arial"/>
        </w:rPr>
        <w:t>ecueil de performance de l’I</w:t>
      </w:r>
      <w:r w:rsidRPr="00DA2F93">
        <w:rPr>
          <w:rFonts w:cs="Arial"/>
        </w:rPr>
        <w:t>nstallation</w:t>
      </w:r>
      <w:r w:rsidR="002A15A0" w:rsidRPr="00DA2F93">
        <w:rPr>
          <w:rFonts w:cs="Arial"/>
        </w:rPr>
        <w:t xml:space="preserve"> à destination du gestionnaire du réseau public de </w:t>
      </w:r>
      <w:r w:rsidR="003A3709">
        <w:rPr>
          <w:rFonts w:cs="Arial"/>
        </w:rPr>
        <w:t>transport</w:t>
      </w:r>
      <w:r w:rsidRPr="00DA2F93">
        <w:rPr>
          <w:rFonts w:cs="Arial"/>
        </w:rPr>
        <w:t xml:space="preserve">. </w:t>
      </w:r>
    </w:p>
    <w:p w14:paraId="7E248002" w14:textId="77777777" w:rsidR="00972DDE" w:rsidRPr="00DA2F93" w:rsidRDefault="00972DDE" w:rsidP="00972DDE">
      <w:pPr>
        <w:jc w:val="both"/>
        <w:rPr>
          <w:color w:val="000000" w:themeColor="text1"/>
        </w:rPr>
      </w:pPr>
      <w:r w:rsidRPr="00DA2F93">
        <w:rPr>
          <w:color w:val="000000" w:themeColor="text1"/>
        </w:rPr>
        <w:t xml:space="preserve">La période d’essais dure jusqu’au démarrage de la période de </w:t>
      </w:r>
      <w:r w:rsidR="007A2513" w:rsidRPr="00DA2F93">
        <w:rPr>
          <w:color w:val="000000" w:themeColor="text1"/>
        </w:rPr>
        <w:t>Marche P</w:t>
      </w:r>
      <w:r w:rsidRPr="00DA2F93">
        <w:rPr>
          <w:color w:val="000000" w:themeColor="text1"/>
        </w:rPr>
        <w:t>robatoire.</w:t>
      </w:r>
    </w:p>
    <w:p w14:paraId="594FCBE1" w14:textId="77777777" w:rsidR="00972DDE" w:rsidRPr="00DA2F93" w:rsidRDefault="00972DDE" w:rsidP="00972DDE">
      <w:pPr>
        <w:jc w:val="both"/>
        <w:rPr>
          <w:rFonts w:cs="Arial"/>
        </w:rPr>
      </w:pPr>
    </w:p>
    <w:p w14:paraId="654D5A04" w14:textId="5CDB1FA1" w:rsidR="007E5C27" w:rsidRPr="00DA2F93" w:rsidRDefault="00972DDE">
      <w:pPr>
        <w:pStyle w:val="EDFTitre3"/>
        <w:widowControl w:val="0"/>
        <w:autoSpaceDE w:val="0"/>
        <w:autoSpaceDN w:val="0"/>
        <w:adjustRightInd w:val="0"/>
        <w:ind w:right="55"/>
        <w:jc w:val="both"/>
      </w:pPr>
      <w:bookmarkStart w:id="388" w:name="_Toc394668295"/>
      <w:bookmarkStart w:id="389" w:name="_Toc108113983"/>
      <w:bookmarkStart w:id="390" w:name="_Toc110436499"/>
      <w:r w:rsidRPr="00DA2F93">
        <w:t xml:space="preserve">Concertation entre le </w:t>
      </w:r>
      <w:r w:rsidR="00554628" w:rsidRPr="00DA2F93">
        <w:t>Stockeur</w:t>
      </w:r>
      <w:r w:rsidRPr="00DA2F93">
        <w:t xml:space="preserve"> et l</w:t>
      </w:r>
      <w:r w:rsidR="00673CB8" w:rsidRPr="00DA2F93">
        <w:t xml:space="preserve">e </w:t>
      </w:r>
      <w:r w:rsidR="00B361C0">
        <w:t>GRT</w:t>
      </w:r>
      <w:r w:rsidR="007A2513" w:rsidRPr="00DA2F93">
        <w:t xml:space="preserve"> pendant la période de Marche P</w:t>
      </w:r>
      <w:r w:rsidRPr="00DA2F93">
        <w:t>robatoire</w:t>
      </w:r>
      <w:bookmarkEnd w:id="388"/>
      <w:bookmarkEnd w:id="389"/>
      <w:bookmarkEnd w:id="390"/>
    </w:p>
    <w:p w14:paraId="63833F24" w14:textId="006CBB66" w:rsidR="00972DDE" w:rsidRPr="00DA2F93" w:rsidRDefault="007A2513" w:rsidP="00972DDE">
      <w:pPr>
        <w:jc w:val="both"/>
        <w:rPr>
          <w:rFonts w:cs="Arial"/>
        </w:rPr>
      </w:pPr>
      <w:r w:rsidRPr="00DA2F93">
        <w:rPr>
          <w:rFonts w:cs="Arial"/>
        </w:rPr>
        <w:lastRenderedPageBreak/>
        <w:t>La période de Marche P</w:t>
      </w:r>
      <w:r w:rsidR="00972DDE" w:rsidRPr="00DA2F93">
        <w:rPr>
          <w:rFonts w:cs="Arial"/>
        </w:rPr>
        <w:t xml:space="preserve">robatoire permet au </w:t>
      </w:r>
      <w:r w:rsidR="00554628" w:rsidRPr="00DA2F93">
        <w:rPr>
          <w:rFonts w:cs="Arial"/>
        </w:rPr>
        <w:t>Stockeur</w:t>
      </w:r>
      <w:r w:rsidR="00972DDE" w:rsidRPr="00DA2F93">
        <w:rPr>
          <w:rFonts w:cs="Arial"/>
        </w:rPr>
        <w:t xml:space="preserve"> de vérifier la capacité de l’Installation à fonctionner en régime continu sans défaut et sans perturber le système électrique.</w:t>
      </w:r>
    </w:p>
    <w:p w14:paraId="3D1A334D" w14:textId="77777777" w:rsidR="00972DDE" w:rsidRPr="00DA2F93" w:rsidRDefault="007A2513" w:rsidP="00972DDE">
      <w:pPr>
        <w:jc w:val="both"/>
        <w:rPr>
          <w:color w:val="000000" w:themeColor="text1"/>
        </w:rPr>
      </w:pPr>
      <w:r w:rsidRPr="00DA2F93">
        <w:rPr>
          <w:color w:val="000000" w:themeColor="text1"/>
        </w:rPr>
        <w:t>La période de Marche P</w:t>
      </w:r>
      <w:r w:rsidR="00972DDE" w:rsidRPr="00DA2F93">
        <w:rPr>
          <w:color w:val="000000" w:themeColor="text1"/>
        </w:rPr>
        <w:t>robatoire peut commencer quand les conditions suivantes sont réunies :</w:t>
      </w:r>
    </w:p>
    <w:p w14:paraId="312EE80A" w14:textId="77777777" w:rsidR="00972DDE" w:rsidRPr="00DA2F93" w:rsidRDefault="00972DDE" w:rsidP="008544B3">
      <w:pPr>
        <w:pStyle w:val="Paragraphedeliste"/>
        <w:numPr>
          <w:ilvl w:val="0"/>
          <w:numId w:val="6"/>
        </w:numPr>
        <w:jc w:val="both"/>
        <w:rPr>
          <w:color w:val="000000" w:themeColor="text1"/>
        </w:rPr>
      </w:pPr>
      <w:r w:rsidRPr="00DA2F93">
        <w:rPr>
          <w:color w:val="000000" w:themeColor="text1"/>
        </w:rPr>
        <w:t xml:space="preserve">Les essais </w:t>
      </w:r>
      <w:r w:rsidR="002A15A0" w:rsidRPr="00DA2F93">
        <w:rPr>
          <w:color w:val="000000" w:themeColor="text1"/>
        </w:rPr>
        <w:t xml:space="preserve">du </w:t>
      </w:r>
      <w:r w:rsidR="00554628" w:rsidRPr="00DA2F93">
        <w:rPr>
          <w:color w:val="000000" w:themeColor="text1"/>
        </w:rPr>
        <w:t>Stockeur</w:t>
      </w:r>
      <w:r w:rsidR="002A15A0" w:rsidRPr="00DA2F93">
        <w:rPr>
          <w:color w:val="000000" w:themeColor="text1"/>
        </w:rPr>
        <w:t xml:space="preserve"> </w:t>
      </w:r>
      <w:r w:rsidRPr="00DA2F93">
        <w:rPr>
          <w:color w:val="000000" w:themeColor="text1"/>
        </w:rPr>
        <w:t xml:space="preserve">ont été réalisés de façon satisfaisante (du point de vue du </w:t>
      </w:r>
      <w:r w:rsidR="00554628" w:rsidRPr="00DA2F93">
        <w:rPr>
          <w:color w:val="000000" w:themeColor="text1"/>
        </w:rPr>
        <w:t>Stockeur</w:t>
      </w:r>
      <w:r w:rsidRPr="00DA2F93">
        <w:rPr>
          <w:color w:val="000000" w:themeColor="text1"/>
        </w:rPr>
        <w:t>, seul responsable de son Installation) ;</w:t>
      </w:r>
    </w:p>
    <w:p w14:paraId="6F88A404" w14:textId="40116984" w:rsidR="002A15A0" w:rsidRPr="00DA2F93" w:rsidRDefault="002A15A0" w:rsidP="008544B3">
      <w:pPr>
        <w:pStyle w:val="Paragraphedeliste"/>
        <w:numPr>
          <w:ilvl w:val="0"/>
          <w:numId w:val="6"/>
        </w:numPr>
        <w:jc w:val="both"/>
        <w:rPr>
          <w:color w:val="000000" w:themeColor="text1"/>
        </w:rPr>
      </w:pPr>
      <w:r w:rsidRPr="00DA2F93">
        <w:rPr>
          <w:color w:val="000000" w:themeColor="text1"/>
        </w:rPr>
        <w:t>L</w:t>
      </w:r>
      <w:r w:rsidR="00C62AA4" w:rsidRPr="00DA2F93">
        <w:rPr>
          <w:color w:val="000000" w:themeColor="text1"/>
        </w:rPr>
        <w:t>a</w:t>
      </w:r>
      <w:r w:rsidR="00D14BF4" w:rsidRPr="00DA2F93">
        <w:rPr>
          <w:rFonts w:cs="Arial"/>
        </w:rPr>
        <w:t xml:space="preserve"> conformité de l’</w:t>
      </w:r>
      <w:r w:rsidR="007322DC" w:rsidRPr="00DA2F93">
        <w:rPr>
          <w:rFonts w:cs="Arial"/>
        </w:rPr>
        <w:t>I</w:t>
      </w:r>
      <w:r w:rsidR="00D14BF4" w:rsidRPr="00DA2F93">
        <w:rPr>
          <w:rFonts w:cs="Arial"/>
        </w:rPr>
        <w:t xml:space="preserve">nstallation aux spécifications du gestionnaire du réseau public de </w:t>
      </w:r>
      <w:r w:rsidR="003A3709">
        <w:rPr>
          <w:rFonts w:cs="Arial"/>
        </w:rPr>
        <w:t>transport</w:t>
      </w:r>
      <w:r w:rsidR="00D14BF4" w:rsidRPr="00DA2F93" w:rsidDel="00D14BF4">
        <w:rPr>
          <w:color w:val="000000" w:themeColor="text1"/>
        </w:rPr>
        <w:t xml:space="preserve"> </w:t>
      </w:r>
      <w:r w:rsidR="004D464E" w:rsidRPr="00DA2F93">
        <w:rPr>
          <w:rFonts w:cs="Arial"/>
        </w:rPr>
        <w:t>a été validée</w:t>
      </w:r>
      <w:r w:rsidRPr="00DA2F93">
        <w:rPr>
          <w:rFonts w:cs="Arial"/>
        </w:rPr>
        <w:t xml:space="preserve"> par le gestionnaire du réseau public de </w:t>
      </w:r>
      <w:r w:rsidR="003A3709">
        <w:rPr>
          <w:rFonts w:cs="Arial"/>
        </w:rPr>
        <w:t>transport</w:t>
      </w:r>
      <w:r w:rsidRPr="00DA2F93">
        <w:rPr>
          <w:rFonts w:cs="Arial"/>
        </w:rPr>
        <w:t> ;</w:t>
      </w:r>
    </w:p>
    <w:p w14:paraId="68092C3B" w14:textId="7709D613" w:rsidR="002A15A0" w:rsidRPr="00DA2F93" w:rsidRDefault="007A2513" w:rsidP="008544B3">
      <w:pPr>
        <w:pStyle w:val="Paragraphedeliste"/>
        <w:numPr>
          <w:ilvl w:val="0"/>
          <w:numId w:val="6"/>
        </w:numPr>
        <w:jc w:val="both"/>
        <w:rPr>
          <w:color w:val="000000" w:themeColor="text1"/>
        </w:rPr>
      </w:pPr>
      <w:r w:rsidRPr="00DA2F93">
        <w:rPr>
          <w:rFonts w:cs="Arial"/>
        </w:rPr>
        <w:t>Le R</w:t>
      </w:r>
      <w:r w:rsidR="002A15A0" w:rsidRPr="00DA2F93">
        <w:rPr>
          <w:rFonts w:cs="Arial"/>
        </w:rPr>
        <w:t xml:space="preserve">ecueil de performance a été établi par le </w:t>
      </w:r>
      <w:r w:rsidR="00554628" w:rsidRPr="00DA2F93">
        <w:rPr>
          <w:rFonts w:cs="Arial"/>
        </w:rPr>
        <w:t>Stockeur</w:t>
      </w:r>
      <w:r w:rsidR="002A15A0" w:rsidRPr="00DA2F93">
        <w:rPr>
          <w:rFonts w:cs="Arial"/>
        </w:rPr>
        <w:t xml:space="preserve"> et validé par le gestionnaire du réseau public de </w:t>
      </w:r>
      <w:r w:rsidR="003A3709">
        <w:rPr>
          <w:rFonts w:cs="Arial"/>
        </w:rPr>
        <w:t>transport</w:t>
      </w:r>
      <w:r w:rsidR="002A15A0" w:rsidRPr="00DA2F93">
        <w:rPr>
          <w:rFonts w:cs="Arial"/>
        </w:rPr>
        <w:t> ;</w:t>
      </w:r>
    </w:p>
    <w:p w14:paraId="42F2BA29" w14:textId="4F669109" w:rsidR="00972DDE" w:rsidRPr="00DA2F93" w:rsidRDefault="00972DDE" w:rsidP="008544B3">
      <w:pPr>
        <w:pStyle w:val="Paragraphedeliste"/>
        <w:numPr>
          <w:ilvl w:val="0"/>
          <w:numId w:val="6"/>
        </w:numPr>
        <w:jc w:val="both"/>
        <w:rPr>
          <w:rFonts w:cs="Arial"/>
        </w:rPr>
      </w:pPr>
      <w:r w:rsidRPr="00DA2F93">
        <w:rPr>
          <w:color w:val="000000" w:themeColor="text1"/>
        </w:rPr>
        <w:t xml:space="preserve">Le </w:t>
      </w:r>
      <w:r w:rsidR="00554628" w:rsidRPr="00DA2F93">
        <w:rPr>
          <w:color w:val="000000" w:themeColor="text1"/>
        </w:rPr>
        <w:t>Stockeur</w:t>
      </w:r>
      <w:r w:rsidRPr="00DA2F93">
        <w:rPr>
          <w:color w:val="000000" w:themeColor="text1"/>
        </w:rPr>
        <w:t xml:space="preserve"> a obtenu les autorisations administratives nécessaires et l’accord du gestionnaire de réseau public de </w:t>
      </w:r>
      <w:r w:rsidR="003A3709">
        <w:rPr>
          <w:color w:val="000000" w:themeColor="text1"/>
        </w:rPr>
        <w:t>transport</w:t>
      </w:r>
      <w:r w:rsidRPr="00DA2F93">
        <w:rPr>
          <w:color w:val="000000" w:themeColor="text1"/>
        </w:rPr>
        <w:t>.</w:t>
      </w:r>
    </w:p>
    <w:p w14:paraId="74DC91DB" w14:textId="438CD172" w:rsidR="00972DDE" w:rsidRPr="00DA2F93" w:rsidRDefault="00972DDE" w:rsidP="00972DDE">
      <w:pPr>
        <w:jc w:val="both"/>
        <w:rPr>
          <w:rFonts w:cs="Arial"/>
        </w:rPr>
      </w:pPr>
      <w:r w:rsidRPr="00DA2F93">
        <w:rPr>
          <w:rFonts w:cs="Arial"/>
        </w:rPr>
        <w:t xml:space="preserve">Le </w:t>
      </w:r>
      <w:r w:rsidR="00554628" w:rsidRPr="00DA2F93">
        <w:rPr>
          <w:rFonts w:cs="Arial"/>
        </w:rPr>
        <w:t>Stockeur</w:t>
      </w:r>
      <w:r w:rsidRPr="00DA2F93">
        <w:rPr>
          <w:rFonts w:cs="Arial"/>
        </w:rPr>
        <w:t xml:space="preserve"> peut alors, à la date de son choix, procéder</w:t>
      </w:r>
      <w:r w:rsidR="007A2513" w:rsidRPr="00DA2F93">
        <w:rPr>
          <w:rFonts w:cs="Arial"/>
        </w:rPr>
        <w:t xml:space="preserve"> au démarrage de la période de Marche P</w:t>
      </w:r>
      <w:r w:rsidRPr="00DA2F93">
        <w:rPr>
          <w:rFonts w:cs="Arial"/>
        </w:rPr>
        <w:t xml:space="preserve">robatoire </w:t>
      </w:r>
      <w:r w:rsidR="0085589B" w:rsidRPr="00DA2F93">
        <w:rPr>
          <w:rFonts w:cs="Arial"/>
        </w:rPr>
        <w:t xml:space="preserve">après </w:t>
      </w:r>
      <w:r w:rsidRPr="00DA2F93">
        <w:rPr>
          <w:rFonts w:cs="Arial"/>
        </w:rPr>
        <w:t xml:space="preserve">notification </w:t>
      </w:r>
      <w:r w:rsidR="00673CB8" w:rsidRPr="00DA2F93">
        <w:rPr>
          <w:rFonts w:cs="Arial"/>
        </w:rPr>
        <w:t xml:space="preserve">au </w:t>
      </w:r>
      <w:r w:rsidR="00B361C0">
        <w:rPr>
          <w:rFonts w:cs="Arial"/>
        </w:rPr>
        <w:t>GRT</w:t>
      </w:r>
      <w:r w:rsidR="0085589B" w:rsidRPr="00DA2F93">
        <w:rPr>
          <w:rFonts w:cs="Arial"/>
        </w:rPr>
        <w:t xml:space="preserve"> de la date retenue</w:t>
      </w:r>
      <w:r w:rsidRPr="00DA2F93">
        <w:rPr>
          <w:rFonts w:cs="Arial"/>
        </w:rPr>
        <w:t>.</w:t>
      </w:r>
    </w:p>
    <w:p w14:paraId="4CD46C07" w14:textId="7EAFECCF" w:rsidR="00972DDE" w:rsidRPr="00DA2F93" w:rsidRDefault="00972DDE" w:rsidP="00972DDE">
      <w:pPr>
        <w:rPr>
          <w:szCs w:val="24"/>
        </w:rPr>
      </w:pPr>
      <w:r w:rsidRPr="00DA2F93">
        <w:rPr>
          <w:szCs w:val="24"/>
        </w:rPr>
        <w:t xml:space="preserve">Un </w:t>
      </w:r>
      <w:r w:rsidR="007559F7" w:rsidRPr="00DA2F93">
        <w:rPr>
          <w:szCs w:val="24"/>
        </w:rPr>
        <w:t>procès-verbal</w:t>
      </w:r>
      <w:r w:rsidRPr="00DA2F93">
        <w:rPr>
          <w:szCs w:val="24"/>
        </w:rPr>
        <w:t xml:space="preserve"> co-signé par les Parties constate que la période de marche probatoire a démarré.</w:t>
      </w:r>
    </w:p>
    <w:p w14:paraId="0C4130EC" w14:textId="4528BC29" w:rsidR="00823E4F" w:rsidRPr="00DA2F93" w:rsidRDefault="00823E4F" w:rsidP="00823E4F">
      <w:pPr>
        <w:jc w:val="both"/>
        <w:rPr>
          <w:color w:val="000000" w:themeColor="text1"/>
        </w:rPr>
      </w:pPr>
      <w:r w:rsidRPr="00DA2F93">
        <w:rPr>
          <w:color w:val="000000" w:themeColor="text1"/>
        </w:rPr>
        <w:t xml:space="preserve">La durée prévisionnelle de la période de marche probatoire est estimée par le </w:t>
      </w:r>
      <w:r w:rsidR="00554628" w:rsidRPr="00DA2F93">
        <w:rPr>
          <w:color w:val="000000" w:themeColor="text1"/>
        </w:rPr>
        <w:t>Stockeur</w:t>
      </w:r>
      <w:r w:rsidRPr="00DA2F93">
        <w:rPr>
          <w:color w:val="000000" w:themeColor="text1"/>
        </w:rPr>
        <w:t xml:space="preserve"> à </w:t>
      </w:r>
      <w:r w:rsidR="00B274E1" w:rsidRPr="00DA2F93">
        <w:rPr>
          <w:color w:val="000000" w:themeColor="text1"/>
        </w:rPr>
        <w:t>1</w:t>
      </w:r>
      <w:r w:rsidRPr="00DA2F93">
        <w:rPr>
          <w:color w:val="000000" w:themeColor="text1"/>
        </w:rPr>
        <w:t xml:space="preserve"> mois</w:t>
      </w:r>
      <w:r w:rsidR="007559F7">
        <w:rPr>
          <w:color w:val="000000" w:themeColor="text1"/>
        </w:rPr>
        <w:t xml:space="preserve"> </w:t>
      </w:r>
      <w:r w:rsidR="007559F7" w:rsidRPr="000243CB">
        <w:rPr>
          <w:color w:val="000000" w:themeColor="text1"/>
          <w:highlight w:val="lightGray"/>
        </w:rPr>
        <w:t xml:space="preserve">[ou </w:t>
      </w:r>
      <w:commentRangeStart w:id="391"/>
      <w:r w:rsidR="007559F7" w:rsidRPr="000243CB">
        <w:rPr>
          <w:color w:val="000000" w:themeColor="text1"/>
          <w:highlight w:val="lightGray"/>
        </w:rPr>
        <w:t>XXX</w:t>
      </w:r>
      <w:commentRangeEnd w:id="391"/>
      <w:r w:rsidR="00074FD0">
        <w:rPr>
          <w:rStyle w:val="Marquedecommentaire"/>
        </w:rPr>
        <w:commentReference w:id="391"/>
      </w:r>
      <w:r w:rsidR="007559F7" w:rsidRPr="000243CB">
        <w:rPr>
          <w:color w:val="000000" w:themeColor="text1"/>
          <w:highlight w:val="lightGray"/>
        </w:rPr>
        <w:t>]</w:t>
      </w:r>
      <w:r w:rsidRPr="000243CB">
        <w:rPr>
          <w:color w:val="000000" w:themeColor="text1"/>
          <w:highlight w:val="lightGray"/>
        </w:rPr>
        <w:t>.</w:t>
      </w:r>
    </w:p>
    <w:p w14:paraId="3BFE822F" w14:textId="77777777" w:rsidR="00972DDE" w:rsidRPr="00DA2F93" w:rsidRDefault="00972DDE" w:rsidP="00972DDE">
      <w:pPr>
        <w:jc w:val="both"/>
        <w:rPr>
          <w:rFonts w:cs="Arial"/>
        </w:rPr>
      </w:pPr>
    </w:p>
    <w:p w14:paraId="2DD5249C" w14:textId="4ACD9EEE" w:rsidR="0076571E" w:rsidRPr="00DA2F93" w:rsidRDefault="00972DDE" w:rsidP="00CA7A93">
      <w:pPr>
        <w:jc w:val="both"/>
        <w:rPr>
          <w:color w:val="000000" w:themeColor="text1"/>
        </w:rPr>
      </w:pPr>
      <w:r w:rsidRPr="00DA2F93">
        <w:rPr>
          <w:color w:val="000000" w:themeColor="text1"/>
        </w:rPr>
        <w:t xml:space="preserve">Pendant cette période, le </w:t>
      </w:r>
      <w:r w:rsidR="00554628" w:rsidRPr="00DA2F93">
        <w:rPr>
          <w:color w:val="000000" w:themeColor="text1"/>
        </w:rPr>
        <w:t>Stockeur</w:t>
      </w:r>
      <w:r w:rsidRPr="00DA2F93">
        <w:rPr>
          <w:color w:val="000000" w:themeColor="text1"/>
        </w:rPr>
        <w:t xml:space="preserve"> et l</w:t>
      </w:r>
      <w:r w:rsidR="00673CB8" w:rsidRPr="00DA2F93">
        <w:rPr>
          <w:color w:val="000000" w:themeColor="text1"/>
        </w:rPr>
        <w:t xml:space="preserve">e </w:t>
      </w:r>
      <w:r w:rsidR="00B361C0">
        <w:rPr>
          <w:color w:val="000000" w:themeColor="text1"/>
        </w:rPr>
        <w:t>GRT</w:t>
      </w:r>
      <w:r w:rsidRPr="00DA2F93">
        <w:rPr>
          <w:color w:val="000000" w:themeColor="text1"/>
        </w:rPr>
        <w:t xml:space="preserve"> se coordonnent de façon régulière</w:t>
      </w:r>
      <w:r w:rsidR="007322DC" w:rsidRPr="00DA2F93">
        <w:rPr>
          <w:color w:val="000000" w:themeColor="text1"/>
        </w:rPr>
        <w:t xml:space="preserve"> afin de permettre au </w:t>
      </w:r>
      <w:r w:rsidR="00554628" w:rsidRPr="00DA2F93">
        <w:rPr>
          <w:color w:val="000000" w:themeColor="text1"/>
        </w:rPr>
        <w:t>Stockeur</w:t>
      </w:r>
      <w:r w:rsidR="007322DC" w:rsidRPr="00DA2F93">
        <w:rPr>
          <w:color w:val="000000" w:themeColor="text1"/>
        </w:rPr>
        <w:t xml:space="preserve"> la réalisation de</w:t>
      </w:r>
      <w:r w:rsidR="00CA7A93" w:rsidRPr="00DA2F93">
        <w:rPr>
          <w:color w:val="000000" w:themeColor="text1"/>
        </w:rPr>
        <w:t xml:space="preserve"> la marche probatoire</w:t>
      </w:r>
      <w:r w:rsidRPr="00DA2F93">
        <w:rPr>
          <w:color w:val="000000" w:themeColor="text1"/>
        </w:rPr>
        <w:t>. Les réunions de coordination entre l</w:t>
      </w:r>
      <w:r w:rsidR="00673CB8" w:rsidRPr="00DA2F93">
        <w:rPr>
          <w:color w:val="000000" w:themeColor="text1"/>
        </w:rPr>
        <w:t xml:space="preserve">e </w:t>
      </w:r>
      <w:r w:rsidR="00B361C0">
        <w:rPr>
          <w:color w:val="000000" w:themeColor="text1"/>
        </w:rPr>
        <w:t>GRT</w:t>
      </w:r>
      <w:r w:rsidRPr="00DA2F93">
        <w:rPr>
          <w:color w:val="000000" w:themeColor="text1"/>
        </w:rPr>
        <w:t xml:space="preserve"> et le </w:t>
      </w:r>
      <w:r w:rsidR="00554628" w:rsidRPr="00DA2F93">
        <w:rPr>
          <w:color w:val="000000" w:themeColor="text1"/>
        </w:rPr>
        <w:t>Stockeur</w:t>
      </w:r>
      <w:r w:rsidRPr="00DA2F93">
        <w:rPr>
          <w:color w:val="000000" w:themeColor="text1"/>
        </w:rPr>
        <w:t xml:space="preserve"> sont organisées à l’initiative du </w:t>
      </w:r>
      <w:r w:rsidR="00554628" w:rsidRPr="00DA2F93">
        <w:rPr>
          <w:color w:val="000000" w:themeColor="text1"/>
        </w:rPr>
        <w:t>Stockeur</w:t>
      </w:r>
      <w:r w:rsidRPr="00DA2F93">
        <w:rPr>
          <w:color w:val="000000" w:themeColor="text1"/>
        </w:rPr>
        <w:t>, et l</w:t>
      </w:r>
      <w:r w:rsidR="00673CB8" w:rsidRPr="00DA2F93">
        <w:rPr>
          <w:color w:val="000000" w:themeColor="text1"/>
        </w:rPr>
        <w:t xml:space="preserve">e </w:t>
      </w:r>
      <w:r w:rsidR="00B361C0">
        <w:rPr>
          <w:color w:val="000000" w:themeColor="text1"/>
        </w:rPr>
        <w:t>GRT</w:t>
      </w:r>
      <w:r w:rsidRPr="00DA2F93">
        <w:rPr>
          <w:color w:val="000000" w:themeColor="text1"/>
        </w:rPr>
        <w:t xml:space="preserve"> s’engage à y assister et à faire ses meilleurs efforts pour permettre au </w:t>
      </w:r>
      <w:r w:rsidR="00554628" w:rsidRPr="00DA2F93">
        <w:rPr>
          <w:color w:val="000000" w:themeColor="text1"/>
        </w:rPr>
        <w:t>Stockeur</w:t>
      </w:r>
      <w:r w:rsidRPr="00DA2F93">
        <w:rPr>
          <w:color w:val="000000" w:themeColor="text1"/>
        </w:rPr>
        <w:t xml:space="preserve"> la </w:t>
      </w:r>
      <w:r w:rsidR="0085589B" w:rsidRPr="00DA2F93">
        <w:rPr>
          <w:color w:val="000000" w:themeColor="text1"/>
        </w:rPr>
        <w:t>réuss</w:t>
      </w:r>
      <w:r w:rsidR="00231FB6" w:rsidRPr="00DA2F93">
        <w:rPr>
          <w:color w:val="000000" w:themeColor="text1"/>
        </w:rPr>
        <w:t>ite de cette période probatoire</w:t>
      </w:r>
      <w:r w:rsidRPr="00DA2F93">
        <w:rPr>
          <w:color w:val="000000" w:themeColor="text1"/>
        </w:rPr>
        <w:t>, y compris, si besoin, en demandant la modification du programme de production des autres cent</w:t>
      </w:r>
      <w:r w:rsidR="00E12867" w:rsidRPr="00DA2F93">
        <w:rPr>
          <w:color w:val="000000" w:themeColor="text1"/>
        </w:rPr>
        <w:t>rales électriques</w:t>
      </w:r>
      <w:r w:rsidRPr="00DA2F93">
        <w:rPr>
          <w:color w:val="000000" w:themeColor="text1"/>
        </w:rPr>
        <w:t xml:space="preserve">. </w:t>
      </w:r>
      <w:bookmarkStart w:id="392" w:name="_Toc394668296"/>
    </w:p>
    <w:p w14:paraId="64EA3ED9" w14:textId="77777777" w:rsidR="007A2513" w:rsidRPr="00DA2F93" w:rsidRDefault="007A2513" w:rsidP="00CA7A93">
      <w:pPr>
        <w:jc w:val="both"/>
        <w:rPr>
          <w:color w:val="000000" w:themeColor="text1"/>
        </w:rPr>
      </w:pPr>
    </w:p>
    <w:p w14:paraId="097A044B" w14:textId="4CFF8DBD" w:rsidR="007A2513" w:rsidRPr="00DA2F93" w:rsidRDefault="007A2513" w:rsidP="00CA7A93">
      <w:pPr>
        <w:jc w:val="both"/>
        <w:rPr>
          <w:color w:val="000000" w:themeColor="text1"/>
        </w:rPr>
      </w:pPr>
      <w:r w:rsidRPr="00DA2F93">
        <w:rPr>
          <w:color w:val="000000" w:themeColor="text1"/>
        </w:rPr>
        <w:t xml:space="preserve">A la fin de la période de Marche Probatoire, </w:t>
      </w:r>
      <w:r w:rsidR="003514A6" w:rsidRPr="00DA2F93">
        <w:rPr>
          <w:color w:val="000000" w:themeColor="text1"/>
        </w:rPr>
        <w:t>l</w:t>
      </w:r>
      <w:r w:rsidR="003514A6">
        <w:rPr>
          <w:color w:val="000000" w:themeColor="text1"/>
        </w:rPr>
        <w:t>e</w:t>
      </w:r>
      <w:r w:rsidR="003514A6" w:rsidRPr="00DA2F93">
        <w:rPr>
          <w:color w:val="000000" w:themeColor="text1"/>
        </w:rPr>
        <w:t xml:space="preserve"> </w:t>
      </w:r>
      <w:r w:rsidR="00554628" w:rsidRPr="00DA2F93">
        <w:rPr>
          <w:color w:val="000000" w:themeColor="text1"/>
        </w:rPr>
        <w:t>Stockeur</w:t>
      </w:r>
      <w:r w:rsidRPr="00DA2F93">
        <w:rPr>
          <w:color w:val="000000" w:themeColor="text1"/>
        </w:rPr>
        <w:t xml:space="preserve"> notifie </w:t>
      </w:r>
      <w:r w:rsidR="00673CB8" w:rsidRPr="00DA2F93">
        <w:rPr>
          <w:color w:val="000000" w:themeColor="text1"/>
        </w:rPr>
        <w:t xml:space="preserve">au </w:t>
      </w:r>
      <w:r w:rsidR="00B361C0">
        <w:rPr>
          <w:color w:val="000000" w:themeColor="text1"/>
        </w:rPr>
        <w:t>GRT</w:t>
      </w:r>
      <w:r w:rsidRPr="00DA2F93">
        <w:rPr>
          <w:color w:val="000000" w:themeColor="text1"/>
        </w:rPr>
        <w:t xml:space="preserve"> la fin de la Marche Probatoire.</w:t>
      </w:r>
    </w:p>
    <w:p w14:paraId="29037595" w14:textId="77777777" w:rsidR="00CA7A93" w:rsidRPr="00DA2F93" w:rsidRDefault="00CA7A93" w:rsidP="00CA7A93">
      <w:pPr>
        <w:jc w:val="both"/>
        <w:rPr>
          <w:color w:val="6D6E71"/>
          <w:szCs w:val="32"/>
        </w:rPr>
      </w:pPr>
    </w:p>
    <w:p w14:paraId="04C2A1C9" w14:textId="77777777" w:rsidR="007E5C27" w:rsidRPr="00DA2F93" w:rsidRDefault="00972DDE">
      <w:pPr>
        <w:pStyle w:val="EDFTitre3"/>
        <w:widowControl w:val="0"/>
        <w:autoSpaceDE w:val="0"/>
        <w:autoSpaceDN w:val="0"/>
        <w:adjustRightInd w:val="0"/>
        <w:ind w:right="55"/>
        <w:jc w:val="both"/>
      </w:pPr>
      <w:bookmarkStart w:id="393" w:name="_Toc108113984"/>
      <w:bookmarkStart w:id="394" w:name="_Toc110436500"/>
      <w:r w:rsidRPr="00DA2F93">
        <w:t>Rémunération penda</w:t>
      </w:r>
      <w:r w:rsidR="007A2513" w:rsidRPr="00DA2F93">
        <w:t>nt les périodes d’essais et de Marche P</w:t>
      </w:r>
      <w:r w:rsidRPr="00DA2F93">
        <w:t>robatoire</w:t>
      </w:r>
      <w:bookmarkEnd w:id="392"/>
      <w:bookmarkEnd w:id="393"/>
      <w:bookmarkEnd w:id="394"/>
    </w:p>
    <w:p w14:paraId="39C54887" w14:textId="4D56E6B4" w:rsidR="004D464E" w:rsidRPr="00DA2F93" w:rsidRDefault="004D464E" w:rsidP="004D464E">
      <w:pPr>
        <w:ind w:left="1"/>
        <w:jc w:val="both"/>
        <w:rPr>
          <w:color w:val="000000" w:themeColor="text1"/>
        </w:rPr>
      </w:pPr>
      <w:r w:rsidRPr="00DA2F93">
        <w:t>Il ne sera pas appliqué de</w:t>
      </w:r>
      <w:r w:rsidRPr="00DA2F93">
        <w:rPr>
          <w:color w:val="000000" w:themeColor="text1"/>
        </w:rPr>
        <w:t xml:space="preserve"> </w:t>
      </w:r>
      <w:r w:rsidR="00F91892" w:rsidRPr="00DA2F93">
        <w:rPr>
          <w:color w:val="000000" w:themeColor="text1"/>
        </w:rPr>
        <w:t>Bonus-Malus</w:t>
      </w:r>
      <w:r w:rsidRPr="00DA2F93">
        <w:rPr>
          <w:color w:val="000000" w:themeColor="text1"/>
        </w:rPr>
        <w:t>, ni de système de pénalités pendant ces deux périodes.</w:t>
      </w:r>
    </w:p>
    <w:p w14:paraId="607C38D6" w14:textId="6BC589DB" w:rsidR="00972DDE" w:rsidRPr="00DA2F93" w:rsidRDefault="005E770F" w:rsidP="007B4F2B">
      <w:pPr>
        <w:ind w:left="1"/>
        <w:jc w:val="both"/>
        <w:rPr>
          <w:color w:val="000000" w:themeColor="text1"/>
        </w:rPr>
      </w:pPr>
      <w:r w:rsidRPr="00DA2F93">
        <w:rPr>
          <w:color w:val="000000" w:themeColor="text1"/>
        </w:rPr>
        <w:t>Il ne sera pas payé de Prime de Puissance Garantie</w:t>
      </w:r>
      <w:r w:rsidR="004D464E" w:rsidRPr="00DA2F93">
        <w:rPr>
          <w:color w:val="000000" w:themeColor="text1"/>
        </w:rPr>
        <w:t xml:space="preserve"> pendant la période d’essais</w:t>
      </w:r>
      <w:r w:rsidRPr="00DA2F93">
        <w:rPr>
          <w:color w:val="000000" w:themeColor="text1"/>
        </w:rPr>
        <w:t>.</w:t>
      </w:r>
      <w:r w:rsidR="004D464E" w:rsidRPr="00DA2F93">
        <w:rPr>
          <w:color w:val="000000" w:themeColor="text1"/>
        </w:rPr>
        <w:t xml:space="preserve"> Pendant la période de Marche Probatoire, 50% de la Prime de Puissance Garantie sera </w:t>
      </w:r>
      <w:r w:rsidR="004D464E" w:rsidRPr="00DA2F93">
        <w:t>payé par l</w:t>
      </w:r>
      <w:r w:rsidR="00673CB8" w:rsidRPr="00DA2F93">
        <w:t xml:space="preserve">e </w:t>
      </w:r>
      <w:r w:rsidR="00B361C0">
        <w:t>GRT</w:t>
      </w:r>
      <w:r w:rsidR="004D464E" w:rsidRPr="00DA2F93">
        <w:t>.</w:t>
      </w:r>
    </w:p>
    <w:p w14:paraId="189D42C2" w14:textId="77777777" w:rsidR="00972DDE" w:rsidRPr="00DA2F93" w:rsidRDefault="00972DDE" w:rsidP="00972DDE">
      <w:pPr>
        <w:jc w:val="both"/>
        <w:rPr>
          <w:rFonts w:cs="Arial"/>
        </w:rPr>
      </w:pPr>
    </w:p>
    <w:p w14:paraId="6416DE39" w14:textId="5D4C8194" w:rsidR="00972DDE" w:rsidRPr="00DA2F93" w:rsidRDefault="00972DDE" w:rsidP="00972DDE">
      <w:pPr>
        <w:jc w:val="both"/>
        <w:rPr>
          <w:color w:val="000000" w:themeColor="text1"/>
        </w:rPr>
      </w:pPr>
      <w:r w:rsidRPr="00DA2F93">
        <w:rPr>
          <w:color w:val="000000" w:themeColor="text1"/>
        </w:rPr>
        <w:t xml:space="preserve">Les modalités de facturation et de paiement pendant ces deux périodes sont </w:t>
      </w:r>
      <w:r w:rsidR="002239F5" w:rsidRPr="00DA2F93">
        <w:rPr>
          <w:color w:val="000000" w:themeColor="text1"/>
        </w:rPr>
        <w:t xml:space="preserve">les mêmes que </w:t>
      </w:r>
      <w:r w:rsidR="00325B2C" w:rsidRPr="00DA2F93">
        <w:rPr>
          <w:color w:val="000000" w:themeColor="text1"/>
        </w:rPr>
        <w:t>celles du</w:t>
      </w:r>
      <w:r w:rsidR="002239F5" w:rsidRPr="00DA2F93">
        <w:rPr>
          <w:color w:val="000000" w:themeColor="text1"/>
        </w:rPr>
        <w:t xml:space="preserve"> </w:t>
      </w:r>
      <w:r w:rsidR="00FF0E25" w:rsidRPr="00DA2F93">
        <w:rPr>
          <w:color w:val="000000" w:themeColor="text1"/>
        </w:rPr>
        <w:t>P</w:t>
      </w:r>
      <w:r w:rsidR="00FF0E25">
        <w:rPr>
          <w:color w:val="000000" w:themeColor="text1"/>
        </w:rPr>
        <w:t>CV</w:t>
      </w:r>
      <w:r w:rsidR="00FF0E25" w:rsidRPr="00DA2F93">
        <w:rPr>
          <w:color w:val="000000" w:themeColor="text1"/>
        </w:rPr>
        <w:t xml:space="preserve"> </w:t>
      </w:r>
      <w:r w:rsidRPr="00DA2F93">
        <w:rPr>
          <w:color w:val="000000" w:themeColor="text1"/>
        </w:rPr>
        <w:t xml:space="preserve">définies </w:t>
      </w:r>
      <w:r w:rsidR="007322DC" w:rsidRPr="00DA2F93">
        <w:rPr>
          <w:color w:val="000000" w:themeColor="text1"/>
        </w:rPr>
        <w:t>au §</w:t>
      </w:r>
      <w:r w:rsidR="00E12867" w:rsidRPr="00DA2F93">
        <w:rPr>
          <w:rFonts w:cs="Arial"/>
          <w:color w:val="000000" w:themeColor="text1"/>
        </w:rPr>
        <w:t xml:space="preserve"> </w:t>
      </w:r>
      <w:r w:rsidR="00C71C22" w:rsidRPr="00DA2F93">
        <w:fldChar w:fldCharType="begin"/>
      </w:r>
      <w:r w:rsidR="00C71C22" w:rsidRPr="00DA2F93">
        <w:instrText xml:space="preserve"> REF _Ref396318000 \r \h  \* MERGEFORMAT </w:instrText>
      </w:r>
      <w:r w:rsidR="00C71C22" w:rsidRPr="00DA2F93">
        <w:fldChar w:fldCharType="separate"/>
      </w:r>
      <w:r w:rsidR="0042414D" w:rsidRPr="000243CB">
        <w:rPr>
          <w:rFonts w:cs="Arial"/>
          <w:color w:val="000000" w:themeColor="text1"/>
        </w:rPr>
        <w:t>16</w:t>
      </w:r>
      <w:r w:rsidR="00C71C22" w:rsidRPr="00DA2F93">
        <w:fldChar w:fldCharType="end"/>
      </w:r>
      <w:r w:rsidRPr="00DA2F93">
        <w:rPr>
          <w:color w:val="000000" w:themeColor="text1"/>
        </w:rPr>
        <w:t>.</w:t>
      </w:r>
    </w:p>
    <w:p w14:paraId="5C581110" w14:textId="77777777" w:rsidR="00972DDE" w:rsidRPr="00DA2F93" w:rsidRDefault="00972DDE" w:rsidP="00972DDE">
      <w:pPr>
        <w:jc w:val="both"/>
        <w:rPr>
          <w:rFonts w:cs="Arial"/>
        </w:rPr>
      </w:pPr>
    </w:p>
    <w:p w14:paraId="39938348" w14:textId="46F4C70C" w:rsidR="00972DDE" w:rsidRPr="00DA2F93" w:rsidRDefault="00972DDE" w:rsidP="00972DDE">
      <w:pPr>
        <w:pStyle w:val="EDFTitre2"/>
        <w:jc w:val="both"/>
      </w:pPr>
      <w:bookmarkStart w:id="395" w:name="_Toc394668297"/>
      <w:bookmarkStart w:id="396" w:name="_Toc108113985"/>
      <w:bookmarkStart w:id="397" w:name="_Toc110436501"/>
      <w:r w:rsidRPr="00DA2F93">
        <w:t xml:space="preserve">Essais après la mise en service </w:t>
      </w:r>
      <w:bookmarkEnd w:id="395"/>
      <w:r w:rsidR="00F71BC8">
        <w:t>industrielle</w:t>
      </w:r>
      <w:bookmarkEnd w:id="396"/>
      <w:bookmarkEnd w:id="397"/>
    </w:p>
    <w:p w14:paraId="6B202D48" w14:textId="26B1B66D" w:rsidR="00585248" w:rsidRDefault="007322DC" w:rsidP="00585248">
      <w:pPr>
        <w:autoSpaceDE w:val="0"/>
        <w:autoSpaceDN w:val="0"/>
        <w:adjustRightInd w:val="0"/>
        <w:spacing w:after="0"/>
        <w:ind w:left="1"/>
        <w:jc w:val="both"/>
        <w:rPr>
          <w:rFonts w:cs="Arial"/>
          <w:color w:val="000000" w:themeColor="text1"/>
        </w:rPr>
      </w:pPr>
      <w:r w:rsidRPr="00DA2F93">
        <w:rPr>
          <w:rFonts w:cs="Arial"/>
          <w:color w:val="000000"/>
        </w:rPr>
        <w:t>Si, après</w:t>
      </w:r>
      <w:r w:rsidR="009130F6" w:rsidRPr="00DA2F93">
        <w:rPr>
          <w:rFonts w:cs="Arial"/>
          <w:color w:val="000000"/>
        </w:rPr>
        <w:t xml:space="preserve"> la Mise en Service </w:t>
      </w:r>
      <w:r w:rsidR="00F71BC8">
        <w:rPr>
          <w:rFonts w:cs="Arial"/>
          <w:color w:val="000000"/>
        </w:rPr>
        <w:t>Industrielle</w:t>
      </w:r>
      <w:r w:rsidRPr="00DA2F93">
        <w:rPr>
          <w:rFonts w:cs="Arial"/>
          <w:color w:val="000000"/>
        </w:rPr>
        <w:t xml:space="preserve"> de l'Installation, le </w:t>
      </w:r>
      <w:r w:rsidR="00554628" w:rsidRPr="00DA2F93">
        <w:rPr>
          <w:rFonts w:cs="Arial"/>
          <w:color w:val="000000"/>
        </w:rPr>
        <w:t>Stockeur</w:t>
      </w:r>
      <w:r w:rsidRPr="00DA2F93">
        <w:rPr>
          <w:rFonts w:cs="Arial"/>
          <w:color w:val="000000"/>
        </w:rPr>
        <w:t xml:space="preserve"> décide de réaliser des essais, </w:t>
      </w:r>
      <w:r w:rsidR="00585248" w:rsidRPr="00DA2F93">
        <w:rPr>
          <w:rFonts w:cs="Arial"/>
          <w:color w:val="000000" w:themeColor="text1"/>
        </w:rPr>
        <w:t>il devra</w:t>
      </w:r>
      <w:r w:rsidR="00585248" w:rsidRPr="00DA2F93">
        <w:rPr>
          <w:rFonts w:ascii="Times New Roman" w:hAnsi="Times New Roman"/>
          <w:color w:val="000000" w:themeColor="text1"/>
        </w:rPr>
        <w:t xml:space="preserve"> </w:t>
      </w:r>
      <w:r w:rsidR="00585248" w:rsidRPr="00DA2F93">
        <w:rPr>
          <w:rFonts w:cs="Arial"/>
          <w:color w:val="000000" w:themeColor="text1"/>
        </w:rPr>
        <w:t>déclarer les périodes d'essais correspondantes ainsi que leurs caractéristiques (type d’essais selon la classification défini</w:t>
      </w:r>
      <w:r w:rsidR="004D464E" w:rsidRPr="00DA2F93">
        <w:rPr>
          <w:rFonts w:cs="Arial"/>
          <w:color w:val="000000" w:themeColor="text1"/>
        </w:rPr>
        <w:t>e ci-dessous et profil d’injection et de soutirage</w:t>
      </w:r>
      <w:r w:rsidR="00585248" w:rsidRPr="00DA2F93">
        <w:rPr>
          <w:rFonts w:cs="Arial"/>
          <w:color w:val="000000" w:themeColor="text1"/>
        </w:rPr>
        <w:t xml:space="preserve">) au planning hebdomadaire de disponibilité. Pour les essais programmés non </w:t>
      </w:r>
      <w:r w:rsidR="00C62AA4" w:rsidRPr="00DA2F93">
        <w:rPr>
          <w:rFonts w:cs="Arial"/>
          <w:color w:val="000000" w:themeColor="text1"/>
        </w:rPr>
        <w:t>déclarés</w:t>
      </w:r>
      <w:r w:rsidR="00585248" w:rsidRPr="00DA2F93">
        <w:rPr>
          <w:rFonts w:cs="Arial"/>
          <w:color w:val="000000" w:themeColor="text1"/>
        </w:rPr>
        <w:t xml:space="preserve"> au planning hebdomadaire de disponibilité, une pénalité de type IA (</w:t>
      </w:r>
      <w:r w:rsidR="00B85137" w:rsidRPr="00DA2F93">
        <w:rPr>
          <w:rFonts w:cs="Arial"/>
          <w:color w:val="000000" w:themeColor="text1"/>
        </w:rPr>
        <w:t xml:space="preserve">essais déclarés </w:t>
      </w:r>
      <w:r w:rsidR="00585248" w:rsidRPr="00DA2F93">
        <w:rPr>
          <w:rFonts w:cs="Arial"/>
          <w:color w:val="000000" w:themeColor="text1"/>
        </w:rPr>
        <w:t xml:space="preserve">la veille </w:t>
      </w:r>
      <w:r w:rsidR="004D464E" w:rsidRPr="00DA2F93">
        <w:rPr>
          <w:rFonts w:cs="Arial"/>
          <w:color w:val="000000" w:themeColor="text1"/>
        </w:rPr>
        <w:t>avant 16</w:t>
      </w:r>
      <w:r w:rsidR="00325B2C" w:rsidRPr="00DA2F93">
        <w:rPr>
          <w:rFonts w:cs="Arial"/>
          <w:color w:val="000000" w:themeColor="text1"/>
        </w:rPr>
        <w:t xml:space="preserve"> </w:t>
      </w:r>
      <w:r w:rsidR="00231FB6" w:rsidRPr="00DA2F93">
        <w:rPr>
          <w:rFonts w:cs="Arial"/>
          <w:color w:val="000000" w:themeColor="text1"/>
        </w:rPr>
        <w:t>h</w:t>
      </w:r>
      <w:r w:rsidR="00585248" w:rsidRPr="00DA2F93">
        <w:rPr>
          <w:rFonts w:cs="Arial"/>
          <w:color w:val="000000" w:themeColor="text1"/>
        </w:rPr>
        <w:t xml:space="preserve">) ou TPS (essais déclarés </w:t>
      </w:r>
      <w:r w:rsidR="004D464E" w:rsidRPr="00DA2F93">
        <w:rPr>
          <w:rFonts w:cs="Arial"/>
          <w:color w:val="000000" w:themeColor="text1"/>
        </w:rPr>
        <w:t>après 16</w:t>
      </w:r>
      <w:r w:rsidR="00325B2C" w:rsidRPr="00DA2F93">
        <w:rPr>
          <w:rFonts w:cs="Arial"/>
          <w:color w:val="000000" w:themeColor="text1"/>
        </w:rPr>
        <w:t xml:space="preserve"> h la veille</w:t>
      </w:r>
      <w:r w:rsidR="004D464E" w:rsidRPr="00DA2F93">
        <w:rPr>
          <w:rFonts w:cs="Arial"/>
          <w:color w:val="000000" w:themeColor="text1"/>
        </w:rPr>
        <w:t>) sera appliquée</w:t>
      </w:r>
      <w:r w:rsidR="00176317" w:rsidRPr="00DA2F93">
        <w:rPr>
          <w:rFonts w:cs="Arial"/>
          <w:color w:val="000000" w:themeColor="text1"/>
        </w:rPr>
        <w:t xml:space="preserve"> [SELON DUREE DE STOCK]</w:t>
      </w:r>
      <w:r w:rsidR="004D464E" w:rsidRPr="00DA2F93">
        <w:rPr>
          <w:rFonts w:cs="Arial"/>
          <w:color w:val="000000" w:themeColor="text1"/>
        </w:rPr>
        <w:t>.</w:t>
      </w:r>
    </w:p>
    <w:p w14:paraId="614C0842" w14:textId="77777777" w:rsidR="009A0687" w:rsidRPr="00DA2F93" w:rsidRDefault="009A0687" w:rsidP="00585248">
      <w:pPr>
        <w:autoSpaceDE w:val="0"/>
        <w:autoSpaceDN w:val="0"/>
        <w:adjustRightInd w:val="0"/>
        <w:spacing w:after="0"/>
        <w:ind w:left="1"/>
        <w:jc w:val="both"/>
        <w:rPr>
          <w:rFonts w:cs="Arial"/>
          <w:color w:val="000000" w:themeColor="text1"/>
        </w:rPr>
      </w:pPr>
    </w:p>
    <w:p w14:paraId="4C7611FA" w14:textId="268630DA" w:rsidR="00585248" w:rsidRPr="00DA2F93" w:rsidRDefault="00585248" w:rsidP="00585248">
      <w:pPr>
        <w:autoSpaceDE w:val="0"/>
        <w:autoSpaceDN w:val="0"/>
        <w:adjustRightInd w:val="0"/>
        <w:spacing w:after="0"/>
        <w:jc w:val="both"/>
        <w:rPr>
          <w:rFonts w:cs="Arial"/>
          <w:color w:val="000000" w:themeColor="text1"/>
        </w:rPr>
      </w:pPr>
      <w:r w:rsidRPr="00DA2F93">
        <w:rPr>
          <w:rFonts w:cs="Arial"/>
          <w:color w:val="000000" w:themeColor="text1"/>
        </w:rPr>
        <w:t xml:space="preserve">Le </w:t>
      </w:r>
      <w:r w:rsidR="00554628" w:rsidRPr="00DA2F93">
        <w:rPr>
          <w:rFonts w:cs="Arial"/>
          <w:color w:val="000000" w:themeColor="text1"/>
        </w:rPr>
        <w:t>Stockeur</w:t>
      </w:r>
      <w:r w:rsidRPr="00DA2F93">
        <w:rPr>
          <w:rFonts w:cs="Arial"/>
          <w:color w:val="000000" w:themeColor="text1"/>
        </w:rPr>
        <w:t xml:space="preserve"> planifiera ces essais en concertation avec le gestionnaire du réseau public de </w:t>
      </w:r>
      <w:r w:rsidR="003A3709">
        <w:rPr>
          <w:rFonts w:cs="Arial"/>
          <w:color w:val="000000" w:themeColor="text1"/>
        </w:rPr>
        <w:t>transport</w:t>
      </w:r>
      <w:r w:rsidRPr="00DA2F93">
        <w:rPr>
          <w:rFonts w:cs="Arial"/>
          <w:color w:val="000000" w:themeColor="text1"/>
        </w:rPr>
        <w:t xml:space="preserve"> de manière à réaliser les essais de l’Installation d’une manière compatible avec les nécessités d’exploitation de l’Installation et aux époques et heures susceptibles de provoquer le moins de gêne possible pour le système électrique. Le gestionnaire du réseau public de </w:t>
      </w:r>
      <w:r w:rsidR="003A3709">
        <w:rPr>
          <w:rFonts w:cs="Arial"/>
          <w:color w:val="000000" w:themeColor="text1"/>
        </w:rPr>
        <w:t>transport</w:t>
      </w:r>
      <w:r w:rsidRPr="00DA2F93">
        <w:rPr>
          <w:rFonts w:cs="Arial"/>
          <w:color w:val="000000" w:themeColor="text1"/>
        </w:rPr>
        <w:t xml:space="preserve"> pourra les </w:t>
      </w:r>
      <w:r w:rsidR="009130F6" w:rsidRPr="00DA2F93">
        <w:rPr>
          <w:rFonts w:cs="Arial"/>
          <w:color w:val="000000" w:themeColor="text1"/>
        </w:rPr>
        <w:t>refuser s’ils entraînent le non-</w:t>
      </w:r>
      <w:r w:rsidRPr="00DA2F93">
        <w:rPr>
          <w:rFonts w:cs="Arial"/>
          <w:color w:val="000000" w:themeColor="text1"/>
        </w:rPr>
        <w:t xml:space="preserve">respect des règles de sûreté ou une </w:t>
      </w:r>
      <w:proofErr w:type="spellStart"/>
      <w:r w:rsidRPr="00DA2F93">
        <w:rPr>
          <w:rFonts w:cs="Arial"/>
          <w:color w:val="000000" w:themeColor="text1"/>
        </w:rPr>
        <w:t>désoptimisation</w:t>
      </w:r>
      <w:proofErr w:type="spellEnd"/>
      <w:r w:rsidRPr="00DA2F93">
        <w:rPr>
          <w:rFonts w:cs="Arial"/>
          <w:color w:val="000000" w:themeColor="text1"/>
        </w:rPr>
        <w:t xml:space="preserve"> économique forte du système électrique.</w:t>
      </w:r>
    </w:p>
    <w:p w14:paraId="689C702C" w14:textId="77777777" w:rsidR="00585248" w:rsidRPr="00DA2F93" w:rsidRDefault="00585248" w:rsidP="00585248">
      <w:pPr>
        <w:autoSpaceDE w:val="0"/>
        <w:autoSpaceDN w:val="0"/>
        <w:adjustRightInd w:val="0"/>
        <w:spacing w:after="0"/>
        <w:ind w:left="1"/>
        <w:jc w:val="both"/>
        <w:rPr>
          <w:rFonts w:cs="Arial"/>
          <w:color w:val="000000" w:themeColor="text1"/>
        </w:rPr>
      </w:pPr>
    </w:p>
    <w:p w14:paraId="54882558" w14:textId="77777777" w:rsidR="00585248" w:rsidRPr="00DA2F93" w:rsidRDefault="007322DC" w:rsidP="00585248">
      <w:pPr>
        <w:autoSpaceDE w:val="0"/>
        <w:autoSpaceDN w:val="0"/>
        <w:adjustRightInd w:val="0"/>
        <w:spacing w:after="0"/>
        <w:ind w:left="1"/>
        <w:jc w:val="both"/>
        <w:rPr>
          <w:rFonts w:cs="Arial"/>
          <w:color w:val="000000" w:themeColor="text1"/>
        </w:rPr>
      </w:pPr>
      <w:r w:rsidRPr="00DA2F93">
        <w:rPr>
          <w:rFonts w:cs="Arial"/>
          <w:color w:val="000000" w:themeColor="text1"/>
        </w:rPr>
        <w:t>Ces</w:t>
      </w:r>
      <w:r w:rsidR="00585248" w:rsidRPr="00DA2F93">
        <w:rPr>
          <w:rFonts w:cs="Arial"/>
          <w:color w:val="000000" w:themeColor="text1"/>
        </w:rPr>
        <w:t xml:space="preserve"> périodes d’essais seront comptabilisées </w:t>
      </w:r>
      <w:r w:rsidR="00C62AA4" w:rsidRPr="00DA2F93">
        <w:rPr>
          <w:rFonts w:cs="Arial"/>
          <w:color w:val="000000" w:themeColor="text1"/>
        </w:rPr>
        <w:t>de la manière suivante :</w:t>
      </w:r>
    </w:p>
    <w:p w14:paraId="060D8740" w14:textId="77777777" w:rsidR="00585248" w:rsidRPr="00DA2F93" w:rsidRDefault="00585248" w:rsidP="00585248">
      <w:pPr>
        <w:autoSpaceDE w:val="0"/>
        <w:autoSpaceDN w:val="0"/>
        <w:adjustRightInd w:val="0"/>
        <w:spacing w:after="0"/>
        <w:ind w:left="1"/>
        <w:jc w:val="both"/>
        <w:rPr>
          <w:rFonts w:cs="Arial"/>
          <w:color w:val="000000" w:themeColor="text1"/>
        </w:rPr>
      </w:pPr>
    </w:p>
    <w:p w14:paraId="500A5367" w14:textId="77777777" w:rsidR="00585248" w:rsidRPr="00DA2F93" w:rsidRDefault="00585248" w:rsidP="00585248">
      <w:pPr>
        <w:autoSpaceDE w:val="0"/>
        <w:autoSpaceDN w:val="0"/>
        <w:adjustRightInd w:val="0"/>
        <w:spacing w:after="0"/>
        <w:ind w:left="1"/>
        <w:jc w:val="both"/>
        <w:rPr>
          <w:rFonts w:ascii="Helv" w:hAnsi="Helv" w:cs="Helv"/>
          <w:color w:val="000000" w:themeColor="text1"/>
        </w:rPr>
      </w:pPr>
      <w:r w:rsidRPr="00DA2F93">
        <w:rPr>
          <w:rFonts w:ascii="Helv" w:hAnsi="Helv" w:cs="Helv"/>
          <w:bCs/>
          <w:color w:val="000000" w:themeColor="text1"/>
        </w:rPr>
        <w:t>Essais "avec risque de déclenchements"</w:t>
      </w:r>
      <w:r w:rsidR="0028660D" w:rsidRPr="00DA2F93">
        <w:rPr>
          <w:rFonts w:ascii="Helv" w:hAnsi="Helv" w:cs="Helv"/>
          <w:bCs/>
          <w:color w:val="000000" w:themeColor="text1"/>
        </w:rPr>
        <w:t xml:space="preserve"> </w:t>
      </w:r>
      <w:r w:rsidRPr="00DA2F93">
        <w:rPr>
          <w:rFonts w:ascii="Helv" w:hAnsi="Helv" w:cs="Helv"/>
          <w:bCs/>
          <w:color w:val="000000" w:themeColor="text1"/>
        </w:rPr>
        <w:t>:</w:t>
      </w:r>
      <w:r w:rsidRPr="00DA2F93">
        <w:rPr>
          <w:rFonts w:ascii="Helv" w:hAnsi="Helv" w:cs="Helv"/>
          <w:color w:val="000000" w:themeColor="text1"/>
        </w:rPr>
        <w:t xml:space="preserve"> l’Installation est considérée totalement indisponible pendant toute la durée des essais car les périodes d’essais sont considérées comme une prolongation des arrêts pour maintenance et arrêts pour fortuit.</w:t>
      </w:r>
    </w:p>
    <w:p w14:paraId="372E7641" w14:textId="77777777" w:rsidR="00585248" w:rsidRPr="00DA2F93" w:rsidRDefault="00585248" w:rsidP="00585248">
      <w:pPr>
        <w:keepNext/>
        <w:keepLines/>
        <w:autoSpaceDE w:val="0"/>
        <w:autoSpaceDN w:val="0"/>
        <w:adjustRightInd w:val="0"/>
        <w:spacing w:after="0"/>
        <w:ind w:left="1"/>
        <w:jc w:val="both"/>
        <w:rPr>
          <w:rFonts w:cs="Arial"/>
          <w:color w:val="000000" w:themeColor="text1"/>
        </w:rPr>
      </w:pPr>
      <w:r w:rsidRPr="00DA2F93">
        <w:rPr>
          <w:rFonts w:cs="Arial"/>
          <w:color w:val="000000" w:themeColor="text1"/>
        </w:rPr>
        <w:t>Les conditions suivantes s'appliquent :</w:t>
      </w:r>
    </w:p>
    <w:p w14:paraId="0C7B5B4E" w14:textId="77777777" w:rsidR="007322DC" w:rsidRPr="00DA2F93" w:rsidRDefault="007322DC" w:rsidP="008544B3">
      <w:pPr>
        <w:pStyle w:val="Paragraphedeliste"/>
        <w:keepNext/>
        <w:keepLines/>
        <w:numPr>
          <w:ilvl w:val="0"/>
          <w:numId w:val="6"/>
        </w:numPr>
        <w:autoSpaceDE w:val="0"/>
        <w:autoSpaceDN w:val="0"/>
        <w:adjustRightInd w:val="0"/>
        <w:spacing w:before="0" w:after="0"/>
        <w:jc w:val="both"/>
        <w:rPr>
          <w:rFonts w:cs="Arial"/>
          <w:color w:val="000000" w:themeColor="text1"/>
        </w:rPr>
      </w:pPr>
      <w:r w:rsidRPr="00DA2F93">
        <w:rPr>
          <w:rFonts w:cs="Arial"/>
          <w:color w:val="000000" w:themeColor="text1"/>
        </w:rPr>
        <w:tab/>
      </w:r>
      <w:r w:rsidRPr="00DA2F93">
        <w:rPr>
          <w:rFonts w:cs="Arial"/>
          <w:color w:val="000000" w:themeColor="text1"/>
        </w:rPr>
        <w:tab/>
        <w:t>les pénalités ne s’appliquent pas ;</w:t>
      </w:r>
    </w:p>
    <w:p w14:paraId="736A81F2" w14:textId="050CDEC9" w:rsidR="007322DC" w:rsidRPr="00DA2F93" w:rsidRDefault="00852492" w:rsidP="008544B3">
      <w:pPr>
        <w:pStyle w:val="Paragraphedeliste"/>
        <w:numPr>
          <w:ilvl w:val="0"/>
          <w:numId w:val="6"/>
        </w:numPr>
        <w:autoSpaceDE w:val="0"/>
        <w:autoSpaceDN w:val="0"/>
        <w:adjustRightInd w:val="0"/>
        <w:spacing w:before="0" w:after="0"/>
        <w:jc w:val="both"/>
        <w:rPr>
          <w:rFonts w:cs="Arial"/>
          <w:color w:val="000000" w:themeColor="text1"/>
        </w:rPr>
      </w:pPr>
      <w:r>
        <w:rPr>
          <w:rFonts w:cs="Arial"/>
          <w:color w:val="000000" w:themeColor="text1"/>
        </w:rPr>
        <w:t>l</w:t>
      </w:r>
      <w:r w:rsidR="008B0A34">
        <w:rPr>
          <w:rFonts w:cs="Arial"/>
          <w:color w:val="000000" w:themeColor="text1"/>
        </w:rPr>
        <w:t>’Acheteur rémunère au Stockeur l’énergie soutirée au prix du présent contrat</w:t>
      </w:r>
    </w:p>
    <w:p w14:paraId="58080D1C" w14:textId="77777777" w:rsidR="00585248" w:rsidRPr="00DA2F93" w:rsidRDefault="00585248" w:rsidP="00585248">
      <w:pPr>
        <w:autoSpaceDE w:val="0"/>
        <w:autoSpaceDN w:val="0"/>
        <w:adjustRightInd w:val="0"/>
        <w:spacing w:after="0"/>
        <w:ind w:left="1"/>
        <w:jc w:val="both"/>
        <w:rPr>
          <w:rFonts w:ascii="Helv" w:hAnsi="Helv" w:cs="Helv"/>
          <w:bCs/>
          <w:color w:val="000000" w:themeColor="text1"/>
        </w:rPr>
      </w:pPr>
    </w:p>
    <w:p w14:paraId="47EBD01A" w14:textId="77777777" w:rsidR="00585248" w:rsidRPr="00DA2F93" w:rsidRDefault="00585248" w:rsidP="00585248">
      <w:pPr>
        <w:autoSpaceDE w:val="0"/>
        <w:autoSpaceDN w:val="0"/>
        <w:adjustRightInd w:val="0"/>
        <w:spacing w:after="0"/>
        <w:ind w:left="1"/>
        <w:jc w:val="both"/>
        <w:rPr>
          <w:rFonts w:ascii="Helv" w:hAnsi="Helv" w:cs="Helv"/>
          <w:color w:val="000000" w:themeColor="text1"/>
        </w:rPr>
      </w:pPr>
      <w:r w:rsidRPr="00DA2F93">
        <w:rPr>
          <w:rFonts w:ascii="Helv" w:hAnsi="Helv" w:cs="Helv"/>
          <w:bCs/>
          <w:color w:val="000000" w:themeColor="text1"/>
        </w:rPr>
        <w:t>Essais "sans risque de déclenchements"</w:t>
      </w:r>
      <w:r w:rsidR="0028660D" w:rsidRPr="00DA2F93">
        <w:rPr>
          <w:rFonts w:ascii="Helv" w:hAnsi="Helv" w:cs="Helv"/>
          <w:bCs/>
          <w:color w:val="000000" w:themeColor="text1"/>
        </w:rPr>
        <w:t xml:space="preserve"> </w:t>
      </w:r>
      <w:r w:rsidRPr="00DA2F93">
        <w:rPr>
          <w:rFonts w:ascii="Helv" w:hAnsi="Helv" w:cs="Helv"/>
          <w:bCs/>
          <w:color w:val="000000" w:themeColor="text1"/>
        </w:rPr>
        <w:t>:</w:t>
      </w:r>
      <w:r w:rsidRPr="00DA2F93">
        <w:rPr>
          <w:rFonts w:ascii="Helv" w:hAnsi="Helv" w:cs="Helv"/>
          <w:color w:val="000000" w:themeColor="text1"/>
        </w:rPr>
        <w:t xml:space="preserve"> l’Installation est consi</w:t>
      </w:r>
      <w:r w:rsidR="00603FD6" w:rsidRPr="00DA2F93">
        <w:rPr>
          <w:rFonts w:ascii="Helv" w:hAnsi="Helv" w:cs="Helv"/>
          <w:color w:val="000000" w:themeColor="text1"/>
        </w:rPr>
        <w:t xml:space="preserve">dérée </w:t>
      </w:r>
      <w:r w:rsidR="004D5AE1" w:rsidRPr="00DA2F93">
        <w:rPr>
          <w:rFonts w:ascii="Helv" w:hAnsi="Helv" w:cs="Helv"/>
          <w:color w:val="000000" w:themeColor="text1"/>
        </w:rPr>
        <w:t>disponible</w:t>
      </w:r>
      <w:r w:rsidRPr="00DA2F93">
        <w:rPr>
          <w:rFonts w:ascii="Helv" w:hAnsi="Helv" w:cs="Helv"/>
          <w:color w:val="000000" w:themeColor="text1"/>
        </w:rPr>
        <w:t>.</w:t>
      </w:r>
    </w:p>
    <w:p w14:paraId="3C9B429F" w14:textId="77777777" w:rsidR="00585248" w:rsidRPr="00DA2F93" w:rsidRDefault="00585248" w:rsidP="00585248">
      <w:pPr>
        <w:autoSpaceDE w:val="0"/>
        <w:autoSpaceDN w:val="0"/>
        <w:adjustRightInd w:val="0"/>
        <w:spacing w:after="0"/>
        <w:ind w:left="1"/>
        <w:jc w:val="both"/>
        <w:rPr>
          <w:rFonts w:cs="Arial"/>
          <w:color w:val="000000"/>
        </w:rPr>
      </w:pPr>
      <w:r w:rsidRPr="00DA2F93">
        <w:rPr>
          <w:rFonts w:cs="Arial"/>
          <w:color w:val="000000"/>
        </w:rPr>
        <w:t>Les conditions suivantes s'appliquent :</w:t>
      </w:r>
    </w:p>
    <w:p w14:paraId="2B57AB0D" w14:textId="77777777" w:rsidR="007322DC" w:rsidRDefault="007322DC" w:rsidP="008544B3">
      <w:pPr>
        <w:pStyle w:val="Paragraphedeliste"/>
        <w:keepNext/>
        <w:keepLines/>
        <w:numPr>
          <w:ilvl w:val="0"/>
          <w:numId w:val="6"/>
        </w:numPr>
        <w:autoSpaceDE w:val="0"/>
        <w:autoSpaceDN w:val="0"/>
        <w:adjustRightInd w:val="0"/>
        <w:spacing w:before="0" w:after="0"/>
        <w:jc w:val="both"/>
        <w:rPr>
          <w:rFonts w:cs="Arial"/>
          <w:color w:val="000000"/>
        </w:rPr>
      </w:pPr>
      <w:r w:rsidRPr="00DA2F93">
        <w:rPr>
          <w:rFonts w:cs="Arial"/>
          <w:color w:val="000000"/>
        </w:rPr>
        <w:tab/>
        <w:t xml:space="preserve">les </w:t>
      </w:r>
      <w:r w:rsidR="00603FD6" w:rsidRPr="00DA2F93">
        <w:rPr>
          <w:rFonts w:cs="Arial"/>
          <w:color w:val="000000"/>
        </w:rPr>
        <w:t xml:space="preserve">pénalités </w:t>
      </w:r>
      <w:r w:rsidR="007B4F2B" w:rsidRPr="00DA2F93">
        <w:rPr>
          <w:rFonts w:cs="Arial"/>
          <w:color w:val="000000"/>
        </w:rPr>
        <w:t>s'applique</w:t>
      </w:r>
      <w:r w:rsidRPr="00DA2F93">
        <w:rPr>
          <w:rFonts w:cs="Arial"/>
          <w:color w:val="000000"/>
        </w:rPr>
        <w:t>nt</w:t>
      </w:r>
      <w:r w:rsidR="00603FD6" w:rsidRPr="00DA2F93">
        <w:rPr>
          <w:rFonts w:cs="Arial"/>
          <w:color w:val="000000"/>
        </w:rPr>
        <w:t> ;</w:t>
      </w:r>
    </w:p>
    <w:p w14:paraId="5403926C" w14:textId="1DBF008F" w:rsidR="008B0A34" w:rsidRPr="00FF1DDE" w:rsidRDefault="008B0A34" w:rsidP="00FF1DDE">
      <w:pPr>
        <w:pStyle w:val="Paragraphedeliste"/>
        <w:numPr>
          <w:ilvl w:val="0"/>
          <w:numId w:val="6"/>
        </w:numPr>
        <w:autoSpaceDE w:val="0"/>
        <w:autoSpaceDN w:val="0"/>
        <w:adjustRightInd w:val="0"/>
        <w:spacing w:before="0" w:after="0"/>
        <w:jc w:val="both"/>
        <w:rPr>
          <w:rFonts w:cs="Arial"/>
          <w:color w:val="000000" w:themeColor="text1"/>
        </w:rPr>
      </w:pPr>
      <w:r>
        <w:rPr>
          <w:rFonts w:cs="Arial"/>
          <w:color w:val="000000" w:themeColor="text1"/>
        </w:rPr>
        <w:t>L’Acheteur rémunère au Stockeur l’énergie soutirée au prix du présent contrat</w:t>
      </w:r>
    </w:p>
    <w:p w14:paraId="72F0DDC1" w14:textId="77777777" w:rsidR="00972DDE" w:rsidRPr="00DA2F93" w:rsidRDefault="00972DDE" w:rsidP="000548E3">
      <w:pPr>
        <w:jc w:val="both"/>
        <w:rPr>
          <w:rFonts w:cs="Arial"/>
        </w:rPr>
      </w:pPr>
    </w:p>
    <w:p w14:paraId="1D783AF0" w14:textId="77777777" w:rsidR="00D71669" w:rsidRPr="00DA2F93" w:rsidRDefault="00D71669" w:rsidP="000548E3">
      <w:pPr>
        <w:pStyle w:val="EDFTitre1"/>
        <w:jc w:val="both"/>
      </w:pPr>
      <w:bookmarkStart w:id="398" w:name="_Toc388896107"/>
      <w:bookmarkStart w:id="399" w:name="_Ref408737399"/>
      <w:bookmarkStart w:id="400" w:name="_Ref415575236"/>
      <w:bookmarkStart w:id="401" w:name="_Ref415576521"/>
      <w:bookmarkStart w:id="402" w:name="_Ref423946560"/>
      <w:bookmarkStart w:id="403" w:name="_Toc108113986"/>
      <w:bookmarkStart w:id="404" w:name="_Toc110436502"/>
      <w:r w:rsidRPr="00DA2F93">
        <w:t>Durée du contrat</w:t>
      </w:r>
      <w:bookmarkEnd w:id="398"/>
      <w:bookmarkEnd w:id="399"/>
      <w:bookmarkEnd w:id="400"/>
      <w:bookmarkEnd w:id="401"/>
      <w:bookmarkEnd w:id="402"/>
      <w:bookmarkEnd w:id="403"/>
      <w:bookmarkEnd w:id="404"/>
    </w:p>
    <w:p w14:paraId="2879CC8D" w14:textId="7C1D5850" w:rsidR="003C33AC" w:rsidRPr="00DA2F93" w:rsidRDefault="003C33AC" w:rsidP="003C33AC">
      <w:pPr>
        <w:jc w:val="both"/>
        <w:rPr>
          <w:color w:val="000000" w:themeColor="text1"/>
        </w:rPr>
      </w:pPr>
      <w:r w:rsidRPr="00DA2F93">
        <w:rPr>
          <w:rFonts w:cs="Arial"/>
          <w:color w:val="000000" w:themeColor="text1"/>
        </w:rPr>
        <w:t>Le</w:t>
      </w:r>
      <w:r w:rsidRPr="00DA2F93">
        <w:rPr>
          <w:color w:val="000000" w:themeColor="text1"/>
        </w:rPr>
        <w:t xml:space="preserve"> présent contrat entre en vigueur à la date </w:t>
      </w:r>
      <w:r w:rsidR="002E7B5A">
        <w:rPr>
          <w:color w:val="000000" w:themeColor="text1"/>
        </w:rPr>
        <w:t xml:space="preserve">du </w:t>
      </w:r>
      <w:r w:rsidR="002E7B5A" w:rsidRPr="000243CB">
        <w:rPr>
          <w:color w:val="000000" w:themeColor="text1"/>
          <w:highlight w:val="lightGray"/>
        </w:rPr>
        <w:t>XXX</w:t>
      </w:r>
      <w:r w:rsidR="002E7B5A">
        <w:rPr>
          <w:color w:val="000000" w:themeColor="text1"/>
        </w:rPr>
        <w:t xml:space="preserve">, sous réserve </w:t>
      </w:r>
      <w:r w:rsidRPr="00DA2F93">
        <w:rPr>
          <w:color w:val="000000" w:themeColor="text1"/>
        </w:rPr>
        <w:t xml:space="preserve">de signature </w:t>
      </w:r>
      <w:r w:rsidR="002E7B5A">
        <w:rPr>
          <w:color w:val="000000" w:themeColor="text1"/>
        </w:rPr>
        <w:t xml:space="preserve">préalable </w:t>
      </w:r>
      <w:r w:rsidRPr="00DA2F93">
        <w:rPr>
          <w:color w:val="000000" w:themeColor="text1"/>
        </w:rPr>
        <w:t xml:space="preserve">par </w:t>
      </w:r>
      <w:r w:rsidRPr="00DA2F93">
        <w:rPr>
          <w:rFonts w:cs="Arial"/>
          <w:color w:val="000000" w:themeColor="text1"/>
        </w:rPr>
        <w:t xml:space="preserve">toutes </w:t>
      </w:r>
      <w:r w:rsidRPr="00DA2F93">
        <w:rPr>
          <w:color w:val="000000" w:themeColor="text1"/>
        </w:rPr>
        <w:t xml:space="preserve">les Parties. </w:t>
      </w:r>
    </w:p>
    <w:p w14:paraId="64D8E12B" w14:textId="65020614" w:rsidR="009C457D" w:rsidRPr="00DA2F93" w:rsidRDefault="00A31419" w:rsidP="000243CB">
      <w:pPr>
        <w:jc w:val="both"/>
      </w:pPr>
      <w:r w:rsidRPr="00DA2F93">
        <w:rPr>
          <w:color w:val="000000" w:themeColor="text1"/>
        </w:rPr>
        <w:t xml:space="preserve">La durée du contrat est de </w:t>
      </w:r>
      <w:r w:rsidR="00493567" w:rsidRPr="0040681E">
        <w:rPr>
          <w:b/>
          <w:color w:val="000000" w:themeColor="text1"/>
        </w:rPr>
        <w:t xml:space="preserve">12 </w:t>
      </w:r>
      <w:r w:rsidRPr="0040681E">
        <w:rPr>
          <w:b/>
          <w:color w:val="000000" w:themeColor="text1"/>
        </w:rPr>
        <w:t>ans</w:t>
      </w:r>
      <w:r w:rsidRPr="00DA2F93">
        <w:rPr>
          <w:b/>
          <w:color w:val="000000" w:themeColor="text1"/>
        </w:rPr>
        <w:t xml:space="preserve"> à compter de la date de Mise en Service </w:t>
      </w:r>
      <w:r w:rsidR="00F71BC8">
        <w:rPr>
          <w:b/>
          <w:color w:val="000000" w:themeColor="text1"/>
        </w:rPr>
        <w:t>Industrielle</w:t>
      </w:r>
      <w:r w:rsidRPr="00DA2F93">
        <w:rPr>
          <w:color w:val="000000" w:themeColor="text1"/>
        </w:rPr>
        <w:t xml:space="preserve"> de l’Installation</w:t>
      </w:r>
      <w:r w:rsidR="001D477E" w:rsidRPr="00DA2F93">
        <w:rPr>
          <w:color w:val="000000" w:themeColor="text1"/>
        </w:rPr>
        <w:t>, étant précisé que cette dernière ne pourra intervenir qu’après signature</w:t>
      </w:r>
      <w:r w:rsidR="009A0687">
        <w:rPr>
          <w:color w:val="000000" w:themeColor="text1"/>
        </w:rPr>
        <w:t xml:space="preserve"> de </w:t>
      </w:r>
      <w:r w:rsidR="001D477E" w:rsidRPr="00DA2F93">
        <w:rPr>
          <w:color w:val="000000" w:themeColor="text1"/>
        </w:rPr>
        <w:t xml:space="preserve"> </w:t>
      </w:r>
      <w:r w:rsidR="008F3BAE">
        <w:rPr>
          <w:color w:val="000000" w:themeColor="text1"/>
        </w:rPr>
        <w:t>la</w:t>
      </w:r>
      <w:r w:rsidR="009A0687">
        <w:t xml:space="preserve"> </w:t>
      </w:r>
      <w:r w:rsidR="00502B79">
        <w:t>Convention de Raccordement et d’Exploitation</w:t>
      </w:r>
      <w:r w:rsidR="008F3BAE">
        <w:t>.</w:t>
      </w:r>
    </w:p>
    <w:p w14:paraId="16D7DEA1" w14:textId="77777777" w:rsidR="00A31419" w:rsidRPr="00DA2F93" w:rsidRDefault="00A31419" w:rsidP="00A31419">
      <w:pPr>
        <w:jc w:val="both"/>
        <w:rPr>
          <w:color w:val="000000" w:themeColor="text1"/>
        </w:rPr>
      </w:pPr>
    </w:p>
    <w:p w14:paraId="72849589" w14:textId="01EC0CA1" w:rsidR="003A2F1D" w:rsidRPr="00DA2F93" w:rsidRDefault="00BC5096" w:rsidP="000548E3">
      <w:pPr>
        <w:jc w:val="both"/>
        <w:rPr>
          <w:rFonts w:cs="Arial"/>
        </w:rPr>
      </w:pPr>
      <w:r w:rsidRPr="00DA2F93">
        <w:rPr>
          <w:rFonts w:cs="Arial"/>
        </w:rPr>
        <w:t xml:space="preserve">La date prévisionnelle de </w:t>
      </w:r>
      <w:r w:rsidR="00A31419" w:rsidRPr="00DA2F93">
        <w:rPr>
          <w:rFonts w:cs="Arial"/>
        </w:rPr>
        <w:t>M</w:t>
      </w:r>
      <w:r w:rsidRPr="00DA2F93">
        <w:rPr>
          <w:rFonts w:cs="Arial"/>
        </w:rPr>
        <w:t xml:space="preserve">ise en </w:t>
      </w:r>
      <w:r w:rsidR="00A31419" w:rsidRPr="00DA2F93">
        <w:rPr>
          <w:rFonts w:cs="Arial"/>
        </w:rPr>
        <w:t>S</w:t>
      </w:r>
      <w:r w:rsidRPr="00DA2F93">
        <w:rPr>
          <w:rFonts w:cs="Arial"/>
        </w:rPr>
        <w:t>er</w:t>
      </w:r>
      <w:r w:rsidR="00E12867" w:rsidRPr="00DA2F93">
        <w:rPr>
          <w:rFonts w:cs="Arial"/>
        </w:rPr>
        <w:t xml:space="preserve">vice </w:t>
      </w:r>
      <w:r w:rsidR="00F71BC8">
        <w:rPr>
          <w:rFonts w:cs="Arial"/>
        </w:rPr>
        <w:t>Industrielle</w:t>
      </w:r>
      <w:r w:rsidR="00E12867" w:rsidRPr="00DA2F93">
        <w:rPr>
          <w:rFonts w:cs="Arial"/>
        </w:rPr>
        <w:t xml:space="preserve"> </w:t>
      </w:r>
      <w:r w:rsidR="00A31419" w:rsidRPr="00DA2F93">
        <w:rPr>
          <w:rFonts w:cs="Arial"/>
        </w:rPr>
        <w:t xml:space="preserve">de l’Installation </w:t>
      </w:r>
      <w:r w:rsidR="00E12867" w:rsidRPr="00DA2F93">
        <w:rPr>
          <w:rFonts w:cs="Arial"/>
        </w:rPr>
        <w:t xml:space="preserve">est estimée à </w:t>
      </w:r>
      <w:r w:rsidR="00A10575" w:rsidRPr="000243CB">
        <w:rPr>
          <w:color w:val="000000" w:themeColor="text1"/>
          <w:highlight w:val="lightGray"/>
        </w:rPr>
        <w:t>XXX</w:t>
      </w:r>
      <w:r w:rsidRPr="000243CB">
        <w:rPr>
          <w:rFonts w:cs="Arial"/>
          <w:highlight w:val="lightGray"/>
        </w:rPr>
        <w:t xml:space="preserve"> mois à partir de la </w:t>
      </w:r>
      <w:r w:rsidR="00380FC6" w:rsidRPr="000243CB">
        <w:rPr>
          <w:rFonts w:cs="Arial"/>
          <w:highlight w:val="lightGray"/>
        </w:rPr>
        <w:t xml:space="preserve">date de </w:t>
      </w:r>
      <w:r w:rsidRPr="000243CB">
        <w:rPr>
          <w:rFonts w:cs="Arial"/>
          <w:highlight w:val="lightGray"/>
        </w:rPr>
        <w:t xml:space="preserve">signature du </w:t>
      </w:r>
      <w:r w:rsidR="003514A6" w:rsidRPr="000243CB">
        <w:rPr>
          <w:rFonts w:cs="Arial"/>
          <w:highlight w:val="lightGray"/>
        </w:rPr>
        <w:t>Contrat</w:t>
      </w:r>
      <w:r w:rsidRPr="000243CB">
        <w:rPr>
          <w:rFonts w:cs="Arial"/>
          <w:highlight w:val="lightGray"/>
        </w:rPr>
        <w:t>.</w:t>
      </w:r>
    </w:p>
    <w:p w14:paraId="63699ACF" w14:textId="77777777" w:rsidR="00D71669" w:rsidRPr="00DA2F93" w:rsidRDefault="00D71669" w:rsidP="000548E3">
      <w:pPr>
        <w:jc w:val="both"/>
        <w:rPr>
          <w:rFonts w:cs="Arial"/>
        </w:rPr>
      </w:pPr>
      <w:r w:rsidRPr="00DA2F93">
        <w:rPr>
          <w:rFonts w:cs="Arial"/>
        </w:rPr>
        <w:t>Toute prolongation ou modification de la durée du contrat se fait par avenant au contrat</w:t>
      </w:r>
      <w:r w:rsidR="00577143" w:rsidRPr="00DA2F93">
        <w:rPr>
          <w:rFonts w:cs="Arial"/>
        </w:rPr>
        <w:t>.</w:t>
      </w:r>
    </w:p>
    <w:p w14:paraId="6564E2B8" w14:textId="77777777" w:rsidR="00E12867" w:rsidRPr="00DA2F93" w:rsidRDefault="00E12867" w:rsidP="000548E3">
      <w:pPr>
        <w:widowControl w:val="0"/>
        <w:autoSpaceDE w:val="0"/>
        <w:autoSpaceDN w:val="0"/>
        <w:adjustRightInd w:val="0"/>
        <w:ind w:right="3495"/>
        <w:jc w:val="both"/>
      </w:pPr>
    </w:p>
    <w:p w14:paraId="6A5A9FC8" w14:textId="77777777" w:rsidR="00D71669" w:rsidRPr="00DA2F93" w:rsidRDefault="00D71669" w:rsidP="000548E3">
      <w:pPr>
        <w:pStyle w:val="EDFTitre1"/>
        <w:jc w:val="both"/>
      </w:pPr>
      <w:bookmarkStart w:id="405" w:name="_Toc388896108"/>
      <w:bookmarkStart w:id="406" w:name="_Toc108113987"/>
      <w:bookmarkStart w:id="407" w:name="_Toc110436503"/>
      <w:r w:rsidRPr="00DA2F93">
        <w:t>Cession du contrat</w:t>
      </w:r>
      <w:bookmarkEnd w:id="405"/>
      <w:bookmarkEnd w:id="406"/>
      <w:bookmarkEnd w:id="407"/>
    </w:p>
    <w:p w14:paraId="31B0ADEC" w14:textId="52D1256A" w:rsidR="00BF07AA" w:rsidRPr="00DA2F93" w:rsidRDefault="00BF07AA" w:rsidP="00BF07AA">
      <w:pPr>
        <w:jc w:val="both"/>
        <w:rPr>
          <w:rFonts w:cs="Arial"/>
        </w:rPr>
      </w:pPr>
      <w:r w:rsidRPr="00DA2F93">
        <w:rPr>
          <w:rFonts w:cs="Arial"/>
        </w:rPr>
        <w:t xml:space="preserve">Le présent </w:t>
      </w:r>
      <w:r w:rsidR="003514A6">
        <w:rPr>
          <w:rFonts w:cs="Arial"/>
        </w:rPr>
        <w:t>C</w:t>
      </w:r>
      <w:r w:rsidR="003514A6" w:rsidRPr="00DA2F93">
        <w:rPr>
          <w:rFonts w:cs="Arial"/>
        </w:rPr>
        <w:t xml:space="preserve">ontrat </w:t>
      </w:r>
      <w:r w:rsidRPr="00DA2F93">
        <w:rPr>
          <w:rFonts w:cs="Arial"/>
        </w:rPr>
        <w:t xml:space="preserve">ne peut être cédé par une Partie qu’avec l’accord </w:t>
      </w:r>
      <w:r w:rsidR="00EB36BD" w:rsidRPr="00DA2F93">
        <w:rPr>
          <w:rFonts w:cs="Arial"/>
        </w:rPr>
        <w:t xml:space="preserve">préalable et écrit </w:t>
      </w:r>
      <w:r w:rsidRPr="00DA2F93">
        <w:rPr>
          <w:rFonts w:cs="Arial"/>
        </w:rPr>
        <w:t>de l’autre Partie.</w:t>
      </w:r>
    </w:p>
    <w:p w14:paraId="620D10A6" w14:textId="77777777" w:rsidR="001274A3" w:rsidRPr="00DA2F93" w:rsidRDefault="001274A3">
      <w:pPr>
        <w:spacing w:before="0" w:after="0"/>
        <w:rPr>
          <w:b/>
          <w:caps/>
          <w:color w:val="001A70"/>
          <w:szCs w:val="32"/>
        </w:rPr>
      </w:pPr>
    </w:p>
    <w:p w14:paraId="2A4488F2" w14:textId="77777777" w:rsidR="00D71669" w:rsidRPr="00DA2F93" w:rsidRDefault="00A77136" w:rsidP="000548E3">
      <w:pPr>
        <w:pStyle w:val="EDFTitre1"/>
        <w:jc w:val="both"/>
      </w:pPr>
      <w:bookmarkStart w:id="408" w:name="_Toc108113988"/>
      <w:bookmarkStart w:id="409" w:name="_Toc110436504"/>
      <w:r w:rsidRPr="00DA2F93">
        <w:t>Responsabilité</w:t>
      </w:r>
      <w:bookmarkEnd w:id="408"/>
      <w:bookmarkEnd w:id="409"/>
    </w:p>
    <w:p w14:paraId="2246812F" w14:textId="6AFFC83E" w:rsidR="00D71669" w:rsidRPr="00DA2F93" w:rsidRDefault="00D71669" w:rsidP="000548E3">
      <w:pPr>
        <w:jc w:val="both"/>
        <w:rPr>
          <w:rFonts w:cs="Arial"/>
          <w:color w:val="000000" w:themeColor="text1"/>
        </w:rPr>
      </w:pPr>
      <w:r w:rsidRPr="00DA2F93">
        <w:rPr>
          <w:rFonts w:cs="Arial"/>
          <w:color w:val="000000" w:themeColor="text1"/>
        </w:rPr>
        <w:t xml:space="preserve">Le </w:t>
      </w:r>
      <w:r w:rsidR="00554628" w:rsidRPr="00DA2F93">
        <w:rPr>
          <w:rFonts w:cs="Arial"/>
          <w:color w:val="000000" w:themeColor="text1"/>
        </w:rPr>
        <w:t>Stockeur</w:t>
      </w:r>
      <w:r w:rsidRPr="00DA2F93">
        <w:rPr>
          <w:rFonts w:cs="Arial"/>
          <w:color w:val="000000" w:themeColor="text1"/>
        </w:rPr>
        <w:t xml:space="preserve"> déclare s'être conformé aux lois et à tous les règlements administratifs et techniques en vigueur à la date de signature du </w:t>
      </w:r>
      <w:r w:rsidR="00577143" w:rsidRPr="00DA2F93">
        <w:rPr>
          <w:rFonts w:cs="Arial"/>
          <w:color w:val="000000" w:themeColor="text1"/>
        </w:rPr>
        <w:t xml:space="preserve">présent </w:t>
      </w:r>
      <w:r w:rsidR="003514A6">
        <w:rPr>
          <w:rFonts w:cs="Arial"/>
          <w:color w:val="000000" w:themeColor="text1"/>
        </w:rPr>
        <w:t>C</w:t>
      </w:r>
      <w:r w:rsidR="003514A6" w:rsidRPr="00DA2F93">
        <w:rPr>
          <w:rFonts w:cs="Arial"/>
          <w:color w:val="000000" w:themeColor="text1"/>
        </w:rPr>
        <w:t>ontrat</w:t>
      </w:r>
      <w:r w:rsidR="00577143" w:rsidRPr="00DA2F93">
        <w:rPr>
          <w:rFonts w:cs="Arial"/>
          <w:color w:val="000000" w:themeColor="text1"/>
        </w:rPr>
        <w:t>, sur l'emploi,</w:t>
      </w:r>
      <w:r w:rsidRPr="00DA2F93">
        <w:rPr>
          <w:rFonts w:cs="Arial"/>
          <w:color w:val="000000" w:themeColor="text1"/>
        </w:rPr>
        <w:t xml:space="preserve"> </w:t>
      </w:r>
      <w:r w:rsidR="00577143" w:rsidRPr="00DA2F93">
        <w:rPr>
          <w:rFonts w:cs="Arial"/>
          <w:color w:val="000000" w:themeColor="text1"/>
        </w:rPr>
        <w:t>l’injection et le soutirage</w:t>
      </w:r>
      <w:r w:rsidRPr="00DA2F93">
        <w:rPr>
          <w:rFonts w:cs="Arial"/>
          <w:color w:val="000000" w:themeColor="text1"/>
        </w:rPr>
        <w:t xml:space="preserve"> de l'électricité. Il prend l'engagement de se conformer à tous les nouveaux textes légaux et réglementaires qui pourraient être édictés ultérieurement en la matière</w:t>
      </w:r>
      <w:r w:rsidR="00A77136" w:rsidRPr="00DA2F93">
        <w:rPr>
          <w:rFonts w:cs="Arial"/>
          <w:color w:val="000000" w:themeColor="text1"/>
        </w:rPr>
        <w:t xml:space="preserve"> qui lui seraient applicables</w:t>
      </w:r>
      <w:r w:rsidRPr="00DA2F93">
        <w:rPr>
          <w:rFonts w:cs="Arial"/>
          <w:color w:val="000000" w:themeColor="text1"/>
        </w:rPr>
        <w:t>.</w:t>
      </w:r>
    </w:p>
    <w:p w14:paraId="05D6B6AE" w14:textId="77777777" w:rsidR="000F537D" w:rsidRPr="00DA2F93" w:rsidRDefault="000F537D" w:rsidP="000548E3">
      <w:pPr>
        <w:jc w:val="both"/>
        <w:rPr>
          <w:rFonts w:cs="Arial"/>
          <w:color w:val="000000" w:themeColor="text1"/>
        </w:rPr>
      </w:pPr>
    </w:p>
    <w:p w14:paraId="192AD315" w14:textId="77777777" w:rsidR="00432F09" w:rsidRPr="00DA2F93" w:rsidRDefault="00432F09" w:rsidP="00432F09">
      <w:pPr>
        <w:autoSpaceDE w:val="0"/>
        <w:autoSpaceDN w:val="0"/>
        <w:adjustRightInd w:val="0"/>
        <w:spacing w:before="0" w:after="0"/>
        <w:jc w:val="both"/>
        <w:rPr>
          <w:rFonts w:cs="Arial"/>
          <w:color w:val="000000"/>
          <w:lang w:eastAsia="fr-FR"/>
        </w:rPr>
      </w:pPr>
      <w:r w:rsidRPr="00DA2F93">
        <w:rPr>
          <w:rFonts w:cs="Arial"/>
          <w:color w:val="000000"/>
          <w:lang w:eastAsia="fr-FR"/>
        </w:rPr>
        <w:t>Le droit commun de la responsabilité contractuelle s’appliquera en cas de préjudice causé dans le cadre de l’exécution du présent Contrat.</w:t>
      </w:r>
    </w:p>
    <w:p w14:paraId="1AF08401" w14:textId="5A5A5DAF" w:rsidR="0076571E" w:rsidRPr="00DA2F93" w:rsidRDefault="00713AEA" w:rsidP="00CA7A93">
      <w:pPr>
        <w:autoSpaceDE w:val="0"/>
        <w:autoSpaceDN w:val="0"/>
        <w:adjustRightInd w:val="0"/>
        <w:spacing w:before="0" w:after="0"/>
        <w:jc w:val="both"/>
        <w:rPr>
          <w:rFonts w:cs="Arial"/>
          <w:color w:val="000000"/>
          <w:lang w:eastAsia="fr-FR"/>
        </w:rPr>
      </w:pPr>
      <w:r w:rsidRPr="00DA2F93">
        <w:rPr>
          <w:rFonts w:cs="Arial"/>
          <w:color w:val="000000"/>
          <w:lang w:eastAsia="fr-FR"/>
        </w:rPr>
        <w:t xml:space="preserve">Les dispositions du présent </w:t>
      </w:r>
      <w:r w:rsidR="007A2513" w:rsidRPr="00DA2F93">
        <w:rPr>
          <w:rFonts w:cs="Arial"/>
          <w:color w:val="000000"/>
          <w:lang w:eastAsia="fr-FR"/>
        </w:rPr>
        <w:t>paragraphe</w:t>
      </w:r>
      <w:r w:rsidRPr="00DA2F93">
        <w:rPr>
          <w:rFonts w:cs="Arial"/>
          <w:color w:val="000000"/>
          <w:lang w:eastAsia="fr-FR"/>
        </w:rPr>
        <w:t xml:space="preserve"> ne font pas obstacle à l’application des pénalités prévues </w:t>
      </w:r>
      <w:r w:rsidR="00BD25D8" w:rsidRPr="00DA2F93">
        <w:rPr>
          <w:rFonts w:cs="Arial"/>
          <w:color w:val="000000"/>
          <w:lang w:eastAsia="fr-FR"/>
        </w:rPr>
        <w:t>au présent</w:t>
      </w:r>
      <w:r w:rsidR="00F7124B" w:rsidRPr="00DA2F93">
        <w:rPr>
          <w:rFonts w:cs="Arial"/>
          <w:color w:val="000000"/>
          <w:lang w:eastAsia="fr-FR"/>
        </w:rPr>
        <w:t xml:space="preserve"> </w:t>
      </w:r>
      <w:r w:rsidR="003514A6">
        <w:rPr>
          <w:rFonts w:cs="Arial"/>
          <w:color w:val="000000"/>
          <w:lang w:eastAsia="fr-FR"/>
        </w:rPr>
        <w:t>C</w:t>
      </w:r>
      <w:r w:rsidR="003514A6" w:rsidRPr="00DA2F93">
        <w:rPr>
          <w:rFonts w:cs="Arial"/>
          <w:color w:val="000000"/>
          <w:lang w:eastAsia="fr-FR"/>
        </w:rPr>
        <w:t>ontrat</w:t>
      </w:r>
      <w:r w:rsidR="004D7427" w:rsidRPr="00DA2F93">
        <w:rPr>
          <w:rFonts w:cs="Arial"/>
          <w:color w:val="000000"/>
          <w:lang w:eastAsia="fr-FR"/>
        </w:rPr>
        <w:t>.</w:t>
      </w:r>
      <w:r w:rsidR="007A2513" w:rsidRPr="00DA2F93">
        <w:rPr>
          <w:rFonts w:cs="Arial"/>
          <w:color w:val="000000"/>
          <w:lang w:eastAsia="fr-FR"/>
        </w:rPr>
        <w:t xml:space="preserve"> </w:t>
      </w:r>
    </w:p>
    <w:p w14:paraId="1804D6C2" w14:textId="77777777" w:rsidR="00380FC6" w:rsidRPr="00DA2F93" w:rsidRDefault="00380FC6" w:rsidP="00CA7A93">
      <w:pPr>
        <w:autoSpaceDE w:val="0"/>
        <w:autoSpaceDN w:val="0"/>
        <w:adjustRightInd w:val="0"/>
        <w:spacing w:before="0" w:after="0"/>
        <w:jc w:val="both"/>
        <w:rPr>
          <w:rFonts w:cs="Arial"/>
          <w:color w:val="000000"/>
          <w:lang w:eastAsia="fr-FR"/>
        </w:rPr>
      </w:pPr>
    </w:p>
    <w:p w14:paraId="46B61EAC" w14:textId="77777777" w:rsidR="00A77136" w:rsidRPr="00DA2F93" w:rsidRDefault="00A77136" w:rsidP="00A77136">
      <w:pPr>
        <w:pStyle w:val="EDFTitre1"/>
        <w:jc w:val="both"/>
      </w:pPr>
      <w:bookmarkStart w:id="410" w:name="_Toc108158513"/>
      <w:bookmarkStart w:id="411" w:name="_Toc108158622"/>
      <w:bookmarkStart w:id="412" w:name="_Toc108174332"/>
      <w:bookmarkStart w:id="413" w:name="_Toc108174444"/>
      <w:bookmarkStart w:id="414" w:name="_Toc108174564"/>
      <w:bookmarkStart w:id="415" w:name="_Toc108174729"/>
      <w:bookmarkStart w:id="416" w:name="_Toc108185158"/>
      <w:bookmarkStart w:id="417" w:name="_Toc108113989"/>
      <w:bookmarkStart w:id="418" w:name="_Toc110436505"/>
      <w:bookmarkEnd w:id="410"/>
      <w:bookmarkEnd w:id="411"/>
      <w:bookmarkEnd w:id="412"/>
      <w:bookmarkEnd w:id="413"/>
      <w:bookmarkEnd w:id="414"/>
      <w:bookmarkEnd w:id="415"/>
      <w:bookmarkEnd w:id="416"/>
      <w:r w:rsidRPr="00DA2F93">
        <w:t>Assurances</w:t>
      </w:r>
      <w:bookmarkEnd w:id="417"/>
      <w:bookmarkEnd w:id="418"/>
    </w:p>
    <w:p w14:paraId="53C380ED" w14:textId="4A2D1A16" w:rsidR="00A77136" w:rsidRPr="00DA2F93" w:rsidRDefault="00A77136" w:rsidP="00A77136">
      <w:pPr>
        <w:autoSpaceDE w:val="0"/>
        <w:autoSpaceDN w:val="0"/>
        <w:adjustRightInd w:val="0"/>
        <w:spacing w:before="0" w:after="0"/>
        <w:jc w:val="both"/>
        <w:rPr>
          <w:rFonts w:cs="Arial"/>
          <w:color w:val="000000"/>
          <w:lang w:eastAsia="fr-FR"/>
        </w:rPr>
      </w:pPr>
      <w:r w:rsidRPr="00DA2F93">
        <w:rPr>
          <w:rFonts w:cs="Arial"/>
          <w:color w:val="000000"/>
          <w:lang w:eastAsia="fr-FR"/>
        </w:rPr>
        <w:t xml:space="preserve">Les Parties doivent disposer d’une assurance garantissant les conséquences pécuniaires de la responsabilité générale ou professionnelle qu’elles peuvent encourir à titre contractuel, délictuel ou quasi-délictuel en cas de dommages corporels, matériels ou immatériels causés lors de l’exécution du présent </w:t>
      </w:r>
      <w:r w:rsidR="003514A6">
        <w:rPr>
          <w:rFonts w:cs="Arial"/>
          <w:color w:val="000000"/>
          <w:lang w:eastAsia="fr-FR"/>
        </w:rPr>
        <w:t>C</w:t>
      </w:r>
      <w:r w:rsidR="003514A6" w:rsidRPr="00DA2F93">
        <w:rPr>
          <w:rFonts w:cs="Arial"/>
          <w:color w:val="000000"/>
          <w:lang w:eastAsia="fr-FR"/>
        </w:rPr>
        <w:t>ontrat</w:t>
      </w:r>
      <w:r w:rsidRPr="00DA2F93">
        <w:rPr>
          <w:rFonts w:cs="Arial"/>
          <w:color w:val="000000"/>
          <w:lang w:eastAsia="fr-FR"/>
        </w:rPr>
        <w:t>. Les Parties peuvent à tout moment se faire justifier par leur cocontractant du paiement régulier des primes d’assurances.</w:t>
      </w:r>
    </w:p>
    <w:p w14:paraId="66E2249F" w14:textId="77777777" w:rsidR="00231FB6" w:rsidRPr="00DA2F93" w:rsidRDefault="00231FB6" w:rsidP="00095418">
      <w:pPr>
        <w:jc w:val="both"/>
        <w:rPr>
          <w:rFonts w:cs="Arial"/>
        </w:rPr>
      </w:pPr>
    </w:p>
    <w:p w14:paraId="0CA3CAE5" w14:textId="77777777" w:rsidR="00D71669" w:rsidRPr="00DA2F93" w:rsidRDefault="00D71669" w:rsidP="000548E3">
      <w:pPr>
        <w:pStyle w:val="EDFTitre1"/>
        <w:jc w:val="both"/>
      </w:pPr>
      <w:bookmarkStart w:id="419" w:name="_Ref378338494"/>
      <w:bookmarkStart w:id="420" w:name="_Ref378338498"/>
      <w:bookmarkStart w:id="421" w:name="_Toc388896112"/>
      <w:bookmarkStart w:id="422" w:name="_Toc108113990"/>
      <w:bookmarkStart w:id="423" w:name="_Toc110436506"/>
      <w:r w:rsidRPr="00DA2F93">
        <w:t>Clause de sauvegarde</w:t>
      </w:r>
      <w:bookmarkEnd w:id="419"/>
      <w:bookmarkEnd w:id="420"/>
      <w:bookmarkEnd w:id="421"/>
      <w:bookmarkEnd w:id="422"/>
      <w:bookmarkEnd w:id="423"/>
    </w:p>
    <w:p w14:paraId="02AB7296" w14:textId="047313C7" w:rsidR="00346ED5" w:rsidRPr="00DA2F93" w:rsidRDefault="003514A6" w:rsidP="00346ED5">
      <w:pPr>
        <w:widowControl w:val="0"/>
        <w:tabs>
          <w:tab w:val="left" w:pos="204"/>
        </w:tabs>
        <w:autoSpaceDE w:val="0"/>
        <w:autoSpaceDN w:val="0"/>
        <w:adjustRightInd w:val="0"/>
        <w:jc w:val="both"/>
        <w:rPr>
          <w:rFonts w:cs="Arial"/>
          <w:color w:val="000000" w:themeColor="text1"/>
        </w:rPr>
      </w:pPr>
      <w:r>
        <w:rPr>
          <w:rFonts w:cs="Arial"/>
          <w:color w:val="000000" w:themeColor="text1"/>
        </w:rPr>
        <w:t>Conformément à l’article 1195 du Code Civil, l</w:t>
      </w:r>
      <w:r w:rsidRPr="00DA2F93">
        <w:rPr>
          <w:rFonts w:cs="Arial"/>
          <w:color w:val="000000" w:themeColor="text1"/>
        </w:rPr>
        <w:t xml:space="preserve">es </w:t>
      </w:r>
      <w:r w:rsidR="00D71669" w:rsidRPr="00DA2F93">
        <w:rPr>
          <w:rFonts w:cs="Arial"/>
          <w:color w:val="000000" w:themeColor="text1"/>
        </w:rPr>
        <w:t>Parties s’engagent à négocier une révision du présent contrat afin de maintenir son équilibre économique en cas de survenance d</w:t>
      </w:r>
      <w:r w:rsidR="007F2B10" w:rsidRPr="00DA2F93">
        <w:rPr>
          <w:rFonts w:cs="Arial"/>
          <w:color w:val="000000" w:themeColor="text1"/>
        </w:rPr>
        <w:t>’un événement ou d</w:t>
      </w:r>
      <w:r w:rsidR="00D71669" w:rsidRPr="00DA2F93">
        <w:rPr>
          <w:rFonts w:cs="Arial"/>
          <w:color w:val="000000" w:themeColor="text1"/>
        </w:rPr>
        <w:t>e circonstances</w:t>
      </w:r>
      <w:r w:rsidR="00A5372E" w:rsidRPr="00DA2F93">
        <w:rPr>
          <w:rFonts w:cs="Arial"/>
          <w:color w:val="000000" w:themeColor="text1"/>
        </w:rPr>
        <w:t xml:space="preserve"> affectant de manière durable et significative </w:t>
      </w:r>
      <w:r w:rsidR="00346ED5" w:rsidRPr="00DA2F93">
        <w:rPr>
          <w:rFonts w:cs="Arial"/>
          <w:color w:val="000000" w:themeColor="text1"/>
        </w:rPr>
        <w:t xml:space="preserve">dans un sens ou dans l’autre </w:t>
      </w:r>
      <w:r w:rsidR="00A5372E" w:rsidRPr="00DA2F93">
        <w:rPr>
          <w:rFonts w:cs="Arial"/>
          <w:color w:val="000000" w:themeColor="text1"/>
        </w:rPr>
        <w:t>l’exécution du présent contrat et</w:t>
      </w:r>
      <w:r w:rsidR="00D71669" w:rsidRPr="00DA2F93">
        <w:rPr>
          <w:rFonts w:cs="Arial"/>
          <w:color w:val="000000" w:themeColor="text1"/>
        </w:rPr>
        <w:t xml:space="preserve"> non pris en compte au moment de sa conclusion</w:t>
      </w:r>
      <w:r w:rsidR="00346ED5" w:rsidRPr="00DA2F93">
        <w:rPr>
          <w:rFonts w:cs="Arial"/>
          <w:color w:val="000000" w:themeColor="text1"/>
        </w:rPr>
        <w:t xml:space="preserve">, indépendantes de la volonté du </w:t>
      </w:r>
      <w:r w:rsidR="00554628" w:rsidRPr="00DA2F93">
        <w:rPr>
          <w:rFonts w:cs="Arial"/>
          <w:color w:val="000000" w:themeColor="text1"/>
        </w:rPr>
        <w:t>Stockeur</w:t>
      </w:r>
      <w:r w:rsidR="00346ED5" w:rsidRPr="00DA2F93">
        <w:rPr>
          <w:rFonts w:cs="Arial"/>
          <w:color w:val="000000" w:themeColor="text1"/>
        </w:rPr>
        <w:t xml:space="preserve"> notamment dans les cas suivants s'ils remplissent ces conditions :</w:t>
      </w:r>
    </w:p>
    <w:p w14:paraId="06578B3C" w14:textId="77777777" w:rsidR="00346ED5" w:rsidRPr="00DA2F93" w:rsidRDefault="00346ED5" w:rsidP="008544B3">
      <w:pPr>
        <w:pStyle w:val="Paragraphedeliste"/>
        <w:numPr>
          <w:ilvl w:val="0"/>
          <w:numId w:val="6"/>
        </w:numPr>
        <w:jc w:val="both"/>
        <w:rPr>
          <w:rFonts w:cs="Arial"/>
          <w:color w:val="000000" w:themeColor="text1"/>
        </w:rPr>
      </w:pPr>
      <w:r w:rsidRPr="00DA2F93">
        <w:rPr>
          <w:szCs w:val="24"/>
        </w:rPr>
        <w:t xml:space="preserve">en cas d’aléas techniques survenant en phase de construction ou en cours d’exploitation </w:t>
      </w:r>
      <w:r w:rsidR="007F2B10" w:rsidRPr="00DA2F93">
        <w:rPr>
          <w:szCs w:val="24"/>
        </w:rPr>
        <w:t xml:space="preserve">de l’Installation </w:t>
      </w:r>
      <w:r w:rsidRPr="00DA2F93">
        <w:rPr>
          <w:rFonts w:cs="Arial"/>
          <w:color w:val="000000" w:themeColor="text1"/>
        </w:rPr>
        <w:t>nécessitant des dépenses supplémentaires imprévues</w:t>
      </w:r>
      <w:r w:rsidRPr="00DA2F93">
        <w:rPr>
          <w:color w:val="000000" w:themeColor="text1"/>
        </w:rPr>
        <w:t xml:space="preserve"> à </w:t>
      </w:r>
      <w:r w:rsidRPr="00DA2F93">
        <w:rPr>
          <w:rFonts w:cs="Arial"/>
          <w:color w:val="000000" w:themeColor="text1"/>
        </w:rPr>
        <w:t>l’origine</w:t>
      </w:r>
      <w:r w:rsidRPr="00DA2F93">
        <w:rPr>
          <w:szCs w:val="24"/>
        </w:rPr>
        <w:t xml:space="preserve"> et non couverts</w:t>
      </w:r>
      <w:r w:rsidR="00D70254" w:rsidRPr="00DA2F93">
        <w:rPr>
          <w:szCs w:val="24"/>
        </w:rPr>
        <w:t xml:space="preserve"> par</w:t>
      </w:r>
      <w:r w:rsidRPr="00DA2F93">
        <w:rPr>
          <w:szCs w:val="24"/>
        </w:rPr>
        <w:t xml:space="preserve"> une police d’assurance en vigueur </w:t>
      </w:r>
      <w:r w:rsidRPr="00DA2F93">
        <w:rPr>
          <w:rFonts w:cs="Arial"/>
          <w:color w:val="000000" w:themeColor="text1"/>
        </w:rPr>
        <w:t xml:space="preserve"> dès lors que les trois conditions ci-après seront cumulativement réalisées :</w:t>
      </w:r>
    </w:p>
    <w:p w14:paraId="67852CC0" w14:textId="77777777" w:rsidR="00346ED5" w:rsidRPr="00DA2F93" w:rsidRDefault="00346ED5" w:rsidP="008544B3">
      <w:pPr>
        <w:pStyle w:val="Paragraphedeliste"/>
        <w:numPr>
          <w:ilvl w:val="1"/>
          <w:numId w:val="6"/>
        </w:numPr>
        <w:jc w:val="both"/>
        <w:rPr>
          <w:rFonts w:cs="Arial"/>
          <w:color w:val="000000" w:themeColor="text1"/>
        </w:rPr>
      </w:pPr>
      <w:r w:rsidRPr="00DA2F93">
        <w:rPr>
          <w:rFonts w:cs="Arial"/>
          <w:color w:val="000000" w:themeColor="text1"/>
        </w:rPr>
        <w:t>Les difficultés matérielles rencontrées présentent un caractère exceptionnel ;</w:t>
      </w:r>
    </w:p>
    <w:p w14:paraId="7B12BC2C" w14:textId="77777777" w:rsidR="00346ED5" w:rsidRPr="00DA2F93" w:rsidRDefault="00346ED5" w:rsidP="008544B3">
      <w:pPr>
        <w:pStyle w:val="Paragraphedeliste"/>
        <w:numPr>
          <w:ilvl w:val="1"/>
          <w:numId w:val="6"/>
        </w:numPr>
        <w:jc w:val="both"/>
        <w:rPr>
          <w:rFonts w:cs="Arial"/>
          <w:color w:val="000000" w:themeColor="text1"/>
        </w:rPr>
      </w:pPr>
      <w:r w:rsidRPr="00DA2F93">
        <w:rPr>
          <w:rFonts w:cs="Arial"/>
          <w:color w:val="000000" w:themeColor="text1"/>
        </w:rPr>
        <w:t xml:space="preserve">Elles n’ont pas été prévues lors de la conclusion du présent contrat et n’auraient pas pu l’être par un </w:t>
      </w:r>
      <w:r w:rsidR="00554628" w:rsidRPr="00DA2F93">
        <w:rPr>
          <w:rFonts w:cs="Arial"/>
          <w:color w:val="000000" w:themeColor="text1"/>
        </w:rPr>
        <w:t>Stockeur</w:t>
      </w:r>
      <w:r w:rsidRPr="00DA2F93">
        <w:rPr>
          <w:rFonts w:cs="Arial"/>
          <w:color w:val="000000" w:themeColor="text1"/>
        </w:rPr>
        <w:t xml:space="preserve"> agissant prudemment et de manière avisée au regard des standards de la profession ; </w:t>
      </w:r>
    </w:p>
    <w:p w14:paraId="18C9CD43" w14:textId="77777777" w:rsidR="00346ED5" w:rsidRPr="00DA2F93" w:rsidRDefault="00346ED5" w:rsidP="008544B3">
      <w:pPr>
        <w:pStyle w:val="Paragraphedeliste"/>
        <w:numPr>
          <w:ilvl w:val="1"/>
          <w:numId w:val="6"/>
        </w:numPr>
        <w:jc w:val="both"/>
        <w:rPr>
          <w:color w:val="000000" w:themeColor="text1"/>
        </w:rPr>
      </w:pPr>
      <w:r w:rsidRPr="00DA2F93">
        <w:rPr>
          <w:rFonts w:cs="Arial"/>
          <w:color w:val="000000" w:themeColor="text1"/>
        </w:rPr>
        <w:t xml:space="preserve">Leur cause est extérieure au </w:t>
      </w:r>
      <w:r w:rsidR="00554628" w:rsidRPr="00DA2F93">
        <w:rPr>
          <w:rFonts w:cs="Arial"/>
          <w:color w:val="000000" w:themeColor="text1"/>
        </w:rPr>
        <w:t>Stockeur</w:t>
      </w:r>
      <w:r w:rsidRPr="00DA2F93">
        <w:rPr>
          <w:rFonts w:cs="Arial"/>
          <w:color w:val="000000" w:themeColor="text1"/>
        </w:rPr>
        <w:t> </w:t>
      </w:r>
      <w:r w:rsidRPr="00DA2F93">
        <w:rPr>
          <w:color w:val="000000" w:themeColor="text1"/>
        </w:rPr>
        <w:t>;</w:t>
      </w:r>
    </w:p>
    <w:p w14:paraId="10D43EC3" w14:textId="77777777" w:rsidR="00432F09" w:rsidRPr="00DA2F93" w:rsidRDefault="00346ED5" w:rsidP="008544B3">
      <w:pPr>
        <w:pStyle w:val="Paragraphedeliste"/>
        <w:numPr>
          <w:ilvl w:val="0"/>
          <w:numId w:val="6"/>
        </w:numPr>
        <w:jc w:val="both"/>
        <w:rPr>
          <w:szCs w:val="24"/>
        </w:rPr>
      </w:pPr>
      <w:r w:rsidRPr="00DA2F93">
        <w:rPr>
          <w:szCs w:val="24"/>
        </w:rPr>
        <w:t xml:space="preserve">en cas d'intervention de nouvelles dispositions fiscales, environnementales, sociales, techniques ou autres, à caractère législatif ou émanant de toutes autorités investies d'un pouvoir réglementaire ou normatif </w:t>
      </w:r>
      <w:r w:rsidR="007F2B10" w:rsidRPr="00DA2F93">
        <w:rPr>
          <w:szCs w:val="24"/>
        </w:rPr>
        <w:t xml:space="preserve">ou en cas de modification desdites dispositions </w:t>
      </w:r>
      <w:r w:rsidRPr="00DA2F93">
        <w:rPr>
          <w:szCs w:val="24"/>
        </w:rPr>
        <w:t>;</w:t>
      </w:r>
    </w:p>
    <w:p w14:paraId="397873E4" w14:textId="77777777" w:rsidR="00585248" w:rsidRPr="00DA2F93" w:rsidRDefault="00346ED5" w:rsidP="008544B3">
      <w:pPr>
        <w:pStyle w:val="Paragraphedeliste"/>
        <w:numPr>
          <w:ilvl w:val="0"/>
          <w:numId w:val="6"/>
        </w:numPr>
        <w:jc w:val="both"/>
        <w:rPr>
          <w:szCs w:val="24"/>
        </w:rPr>
      </w:pPr>
      <w:r w:rsidRPr="00DA2F93">
        <w:rPr>
          <w:rFonts w:cs="Arial"/>
          <w:color w:val="000000"/>
          <w:lang w:eastAsia="fr-FR"/>
        </w:rPr>
        <w:t>et en cas de modification de l'interprétation des dispositions en vigueur par toutes autorités chargées de leur application ou de leur interprétation, ou de modification de l'appréciation des situations en cours par toutes autorités compétentes à cet effet.</w:t>
      </w:r>
    </w:p>
    <w:p w14:paraId="5D02BC61" w14:textId="77777777" w:rsidR="00D71669" w:rsidRPr="00DA2F93" w:rsidRDefault="00D71669" w:rsidP="000548E3">
      <w:pPr>
        <w:jc w:val="both"/>
        <w:rPr>
          <w:rFonts w:cs="Arial"/>
          <w:color w:val="000000" w:themeColor="text1"/>
        </w:rPr>
      </w:pPr>
      <w:r w:rsidRPr="00DA2F93">
        <w:rPr>
          <w:rFonts w:cs="Arial"/>
          <w:color w:val="000000" w:themeColor="text1"/>
        </w:rPr>
        <w:t>L</w:t>
      </w:r>
      <w:r w:rsidR="007F2B10" w:rsidRPr="00DA2F93">
        <w:rPr>
          <w:rFonts w:cs="Arial"/>
          <w:color w:val="000000" w:themeColor="text1"/>
        </w:rPr>
        <w:t>’événement ou l</w:t>
      </w:r>
      <w:r w:rsidRPr="00DA2F93">
        <w:rPr>
          <w:rFonts w:cs="Arial"/>
          <w:color w:val="000000" w:themeColor="text1"/>
        </w:rPr>
        <w:t xml:space="preserve">es circonstances invoquées </w:t>
      </w:r>
      <w:r w:rsidR="00A5372E" w:rsidRPr="00DA2F93">
        <w:rPr>
          <w:rFonts w:cs="Arial"/>
          <w:color w:val="000000" w:themeColor="text1"/>
        </w:rPr>
        <w:t>devront être</w:t>
      </w:r>
      <w:r w:rsidRPr="00DA2F93">
        <w:rPr>
          <w:rFonts w:cs="Arial"/>
          <w:color w:val="000000" w:themeColor="text1"/>
        </w:rPr>
        <w:t xml:space="preserve"> décrites avec précision par la Partie demanderesse en expliquant les </w:t>
      </w:r>
      <w:r w:rsidR="007F2B10" w:rsidRPr="00DA2F93">
        <w:rPr>
          <w:rFonts w:cs="Arial"/>
          <w:color w:val="000000" w:themeColor="text1"/>
        </w:rPr>
        <w:t xml:space="preserve">conséquences sur l’équilibre économique du contrat </w:t>
      </w:r>
      <w:r w:rsidRPr="00DA2F93">
        <w:rPr>
          <w:rFonts w:cs="Arial"/>
          <w:color w:val="000000" w:themeColor="text1"/>
        </w:rPr>
        <w:t>qui nécessitent la révision demandée. Ces explications devront être accompagnées de la communication de tous les éléments permettant d'apprécier la situation qui motive la demande de réajustement du contrat</w:t>
      </w:r>
      <w:r w:rsidR="007F2B10" w:rsidRPr="00DA2F93">
        <w:rPr>
          <w:rFonts w:cs="Arial"/>
          <w:color w:val="000000" w:themeColor="text1"/>
        </w:rPr>
        <w:t xml:space="preserve"> et le niveau de révision demandé</w:t>
      </w:r>
      <w:r w:rsidRPr="00DA2F93">
        <w:rPr>
          <w:rFonts w:cs="Arial"/>
          <w:color w:val="000000" w:themeColor="text1"/>
        </w:rPr>
        <w:t>.</w:t>
      </w:r>
    </w:p>
    <w:p w14:paraId="58DC5370" w14:textId="77777777" w:rsidR="00610546" w:rsidRPr="00DA2F93" w:rsidRDefault="00610546" w:rsidP="000548E3">
      <w:pPr>
        <w:jc w:val="both"/>
        <w:rPr>
          <w:rFonts w:cs="Arial"/>
        </w:rPr>
      </w:pPr>
    </w:p>
    <w:p w14:paraId="1779E494" w14:textId="77777777" w:rsidR="00394782" w:rsidRPr="00A775B6" w:rsidRDefault="00BF07AA" w:rsidP="00394782">
      <w:pPr>
        <w:pStyle w:val="EDFTitre1"/>
        <w:jc w:val="both"/>
      </w:pPr>
      <w:bookmarkStart w:id="424" w:name="_Toc388896113"/>
      <w:bookmarkStart w:id="425" w:name="_Toc108113991"/>
      <w:bookmarkStart w:id="426" w:name="_Toc110436507"/>
      <w:r w:rsidRPr="00A775B6">
        <w:t>D</w:t>
      </w:r>
      <w:r w:rsidR="004B0CD4" w:rsidRPr="00A775B6">
        <w:t>emantelement</w:t>
      </w:r>
      <w:r w:rsidR="00394782" w:rsidRPr="00A775B6">
        <w:t>, depollution et remise en etat</w:t>
      </w:r>
      <w:bookmarkEnd w:id="424"/>
      <w:bookmarkEnd w:id="425"/>
      <w:bookmarkEnd w:id="426"/>
    </w:p>
    <w:p w14:paraId="3A42C307" w14:textId="19B01E43" w:rsidR="00A31419" w:rsidRPr="00A775B6" w:rsidRDefault="00A31419" w:rsidP="00A31419">
      <w:pPr>
        <w:jc w:val="both"/>
        <w:rPr>
          <w:rFonts w:cs="Arial"/>
          <w:color w:val="000000"/>
        </w:rPr>
      </w:pPr>
      <w:r w:rsidRPr="00A775B6">
        <w:rPr>
          <w:rFonts w:cs="Arial"/>
          <w:color w:val="000000"/>
        </w:rPr>
        <w:t xml:space="preserve">Les prix mentionnés dans le présent contrat intègrent </w:t>
      </w:r>
      <w:r w:rsidR="00C77B6E" w:rsidRPr="00A775B6">
        <w:rPr>
          <w:rFonts w:cs="Arial"/>
          <w:color w:val="000000"/>
        </w:rPr>
        <w:t>les</w:t>
      </w:r>
      <w:r w:rsidRPr="00A775B6">
        <w:rPr>
          <w:rFonts w:cs="Arial"/>
          <w:color w:val="000000"/>
        </w:rPr>
        <w:t xml:space="preserve"> provision</w:t>
      </w:r>
      <w:r w:rsidR="00C77B6E" w:rsidRPr="00A775B6">
        <w:rPr>
          <w:rFonts w:cs="Arial"/>
          <w:color w:val="000000"/>
        </w:rPr>
        <w:t>s</w:t>
      </w:r>
      <w:r w:rsidRPr="00A775B6">
        <w:rPr>
          <w:rFonts w:cs="Arial"/>
          <w:color w:val="000000"/>
        </w:rPr>
        <w:t xml:space="preserve"> pour couvrir les dépenses futures de démantèlement, de dépollution</w:t>
      </w:r>
      <w:r w:rsidR="0076571E" w:rsidRPr="00A775B6">
        <w:rPr>
          <w:rFonts w:cs="Arial"/>
          <w:color w:val="000000"/>
        </w:rPr>
        <w:t xml:space="preserve"> et de remise en état du site. </w:t>
      </w:r>
    </w:p>
    <w:p w14:paraId="5A4A7F28" w14:textId="1E1048FA" w:rsidR="006833A5" w:rsidRPr="00A775B6" w:rsidRDefault="006833A5" w:rsidP="00A31419">
      <w:pPr>
        <w:jc w:val="both"/>
        <w:rPr>
          <w:rFonts w:cs="Arial"/>
          <w:color w:val="000000"/>
        </w:rPr>
      </w:pPr>
      <w:r w:rsidRPr="00A775B6">
        <w:rPr>
          <w:rFonts w:cs="Arial"/>
          <w:color w:val="000000"/>
        </w:rPr>
        <w:t xml:space="preserve">Au plus tard 3 ans avant la fin du présent Contrat, un avenant est établi entre </w:t>
      </w:r>
      <w:r w:rsidRPr="00A775B6">
        <w:t>l</w:t>
      </w:r>
      <w:r w:rsidRPr="00A775B6">
        <w:rPr>
          <w:rFonts w:cs="Arial"/>
          <w:color w:val="000000"/>
        </w:rPr>
        <w:t>e Stockeur et le GRT afin de tenir compte de la réévaluation du coût de démantèlement de l’installation, sans quoi la PPG annuelle sera déduite de sa composante « démantèlement ».</w:t>
      </w:r>
    </w:p>
    <w:p w14:paraId="2E40C567" w14:textId="1485B786" w:rsidR="004D5AE1" w:rsidRDefault="00300B93" w:rsidP="00A31419">
      <w:pPr>
        <w:jc w:val="both"/>
        <w:rPr>
          <w:rFonts w:cs="Arial"/>
          <w:color w:val="000000"/>
        </w:rPr>
      </w:pPr>
      <w:r w:rsidRPr="00A775B6">
        <w:rPr>
          <w:rFonts w:cs="Arial"/>
          <w:color w:val="000000"/>
        </w:rPr>
        <w:t>3</w:t>
      </w:r>
      <w:r w:rsidR="00C806D0" w:rsidRPr="00A775B6">
        <w:rPr>
          <w:rFonts w:cs="Arial"/>
          <w:color w:val="000000"/>
        </w:rPr>
        <w:t xml:space="preserve"> ans</w:t>
      </w:r>
      <w:r w:rsidR="006833A5" w:rsidRPr="00A775B6">
        <w:rPr>
          <w:rFonts w:cs="Arial"/>
          <w:color w:val="000000"/>
        </w:rPr>
        <w:t xml:space="preserve"> et 6 mois</w:t>
      </w:r>
      <w:r w:rsidR="00C806D0" w:rsidRPr="00A775B6">
        <w:rPr>
          <w:rFonts w:cs="Arial"/>
          <w:color w:val="000000"/>
        </w:rPr>
        <w:t xml:space="preserve"> avant l’expiration du présent contrat, </w:t>
      </w:r>
      <w:r w:rsidRPr="00A775B6">
        <w:rPr>
          <w:rFonts w:cs="Arial"/>
          <w:color w:val="000000"/>
        </w:rPr>
        <w:t xml:space="preserve">le Stockeur réévalue le coût du démantèlement de son installation et l’adresse au </w:t>
      </w:r>
      <w:r w:rsidRPr="00A775B6">
        <w:t>service de la Nouvelle-Calédonie compétent en matière d’énergie pour validation. Si le coût de démantèlement validé par le service de la Nouvelle-Calédonie compétent en matière d’énergie est inférieur au coût de démantèlement de référence pris en compte pour le calcul de la PPG, l</w:t>
      </w:r>
      <w:r w:rsidRPr="00A775B6">
        <w:rPr>
          <w:rFonts w:cs="Arial"/>
          <w:color w:val="000000"/>
        </w:rPr>
        <w:t xml:space="preserve">e Stockeur et le GRT établiront un avenant prévoyant la révision de la PPG à la </w:t>
      </w:r>
      <w:r w:rsidRPr="00A775B6">
        <w:rPr>
          <w:rFonts w:cs="Arial"/>
          <w:color w:val="000000"/>
        </w:rPr>
        <w:tab/>
        <w:t>baisse à due concurrence de la différence. Dans le cas contraire, la compensation n’est pas révisée sur la base du nouveau coût</w:t>
      </w:r>
      <w:r w:rsidR="006833A5" w:rsidRPr="00A775B6">
        <w:rPr>
          <w:rFonts w:cs="Arial"/>
          <w:color w:val="000000"/>
        </w:rPr>
        <w:t xml:space="preserve"> et il n’y a pas lieu d’établir l’avenant imposé au 2</w:t>
      </w:r>
      <w:r w:rsidR="006833A5" w:rsidRPr="00A775B6">
        <w:rPr>
          <w:rFonts w:cs="Arial"/>
          <w:color w:val="000000"/>
          <w:vertAlign w:val="superscript"/>
        </w:rPr>
        <w:t>ème</w:t>
      </w:r>
      <w:r w:rsidR="006833A5" w:rsidRPr="00A775B6">
        <w:rPr>
          <w:rFonts w:cs="Arial"/>
          <w:color w:val="000000"/>
        </w:rPr>
        <w:t xml:space="preserve"> alinéa du présent article.</w:t>
      </w:r>
      <w:r w:rsidR="00C806D0">
        <w:rPr>
          <w:rFonts w:cs="Arial"/>
          <w:color w:val="000000"/>
        </w:rPr>
        <w:t xml:space="preserve"> </w:t>
      </w:r>
    </w:p>
    <w:p w14:paraId="0172252F" w14:textId="77777777" w:rsidR="0040681E" w:rsidRDefault="0040681E" w:rsidP="00A31419">
      <w:pPr>
        <w:jc w:val="both"/>
        <w:rPr>
          <w:rFonts w:cs="Arial"/>
          <w:color w:val="000000"/>
        </w:rPr>
      </w:pPr>
    </w:p>
    <w:p w14:paraId="13092F67" w14:textId="77777777" w:rsidR="0040681E" w:rsidRPr="00DA2F93" w:rsidRDefault="0040681E" w:rsidP="00A31419">
      <w:pPr>
        <w:jc w:val="both"/>
      </w:pPr>
    </w:p>
    <w:p w14:paraId="4006DB1F" w14:textId="77777777" w:rsidR="00D71669" w:rsidRPr="00DA2F93" w:rsidRDefault="00D71669" w:rsidP="000548E3">
      <w:pPr>
        <w:pStyle w:val="EDFTitre1"/>
        <w:jc w:val="both"/>
      </w:pPr>
      <w:bookmarkStart w:id="427" w:name="_Toc108158517"/>
      <w:bookmarkStart w:id="428" w:name="_Toc108158626"/>
      <w:bookmarkStart w:id="429" w:name="_Toc108174336"/>
      <w:bookmarkStart w:id="430" w:name="_Toc108174448"/>
      <w:bookmarkStart w:id="431" w:name="_Toc108174568"/>
      <w:bookmarkStart w:id="432" w:name="_Toc108174733"/>
      <w:bookmarkStart w:id="433" w:name="_Toc108185162"/>
      <w:bookmarkStart w:id="434" w:name="_Ref378325281"/>
      <w:bookmarkStart w:id="435" w:name="_Ref378335873"/>
      <w:bookmarkStart w:id="436" w:name="_Toc388896114"/>
      <w:bookmarkStart w:id="437" w:name="_Toc108113992"/>
      <w:bookmarkStart w:id="438" w:name="_Toc110436508"/>
      <w:bookmarkEnd w:id="427"/>
      <w:bookmarkEnd w:id="428"/>
      <w:bookmarkEnd w:id="429"/>
      <w:bookmarkEnd w:id="430"/>
      <w:bookmarkEnd w:id="431"/>
      <w:bookmarkEnd w:id="432"/>
      <w:bookmarkEnd w:id="433"/>
      <w:r w:rsidRPr="00DA2F93">
        <w:t>Force majeure</w:t>
      </w:r>
      <w:bookmarkEnd w:id="434"/>
      <w:bookmarkEnd w:id="435"/>
      <w:bookmarkEnd w:id="436"/>
      <w:bookmarkEnd w:id="437"/>
      <w:bookmarkEnd w:id="438"/>
    </w:p>
    <w:p w14:paraId="41DB5E30" w14:textId="407C5E17" w:rsidR="00D71669" w:rsidRPr="00DA2F93" w:rsidRDefault="00B119E3" w:rsidP="000548E3">
      <w:pPr>
        <w:jc w:val="both"/>
        <w:rPr>
          <w:rFonts w:cs="Arial"/>
          <w:b/>
          <w:color w:val="000000" w:themeColor="text1"/>
        </w:rPr>
      </w:pPr>
      <w:r w:rsidRPr="00DA2F93">
        <w:rPr>
          <w:rFonts w:cs="Arial"/>
          <w:color w:val="000000" w:themeColor="text1"/>
        </w:rPr>
        <w:t xml:space="preserve">En cas de situation de force majeure, c'est-à-dire d’un événement </w:t>
      </w:r>
      <w:r>
        <w:rPr>
          <w:rFonts w:cs="Arial"/>
          <w:color w:val="000000" w:themeColor="text1"/>
        </w:rPr>
        <w:t>échappant au contrôle de l’une ou l’autre des Parties</w:t>
      </w:r>
      <w:r w:rsidRPr="00DA2F93">
        <w:rPr>
          <w:rFonts w:cs="Arial"/>
          <w:color w:val="000000" w:themeColor="text1"/>
        </w:rPr>
        <w:t xml:space="preserve">, </w:t>
      </w:r>
      <w:r>
        <w:rPr>
          <w:rFonts w:cs="Arial"/>
          <w:color w:val="000000" w:themeColor="text1"/>
        </w:rPr>
        <w:t>qui ne pouvait être raisonnablement prévu lors de la conclusion du contrat</w:t>
      </w:r>
      <w:r w:rsidRPr="00DA2F93">
        <w:rPr>
          <w:rFonts w:cs="Arial"/>
          <w:color w:val="000000" w:themeColor="text1"/>
        </w:rPr>
        <w:t xml:space="preserve"> et </w:t>
      </w:r>
      <w:r>
        <w:rPr>
          <w:rFonts w:cs="Arial"/>
          <w:color w:val="000000" w:themeColor="text1"/>
        </w:rPr>
        <w:t>dont les</w:t>
      </w:r>
      <w:r w:rsidRPr="00DA2F93">
        <w:rPr>
          <w:rFonts w:cs="Arial"/>
          <w:color w:val="000000" w:themeColor="text1"/>
        </w:rPr>
        <w:t xml:space="preserve"> effets</w:t>
      </w:r>
      <w:r>
        <w:rPr>
          <w:rFonts w:cs="Arial"/>
          <w:color w:val="000000" w:themeColor="text1"/>
        </w:rPr>
        <w:t xml:space="preserve"> ne peuvent être évités par des mesures appropriées</w:t>
      </w:r>
      <w:r w:rsidRPr="00DA2F93">
        <w:rPr>
          <w:rFonts w:cs="Arial"/>
          <w:color w:val="000000" w:themeColor="text1"/>
        </w:rPr>
        <w:t xml:space="preserve"> (article 1</w:t>
      </w:r>
      <w:r>
        <w:rPr>
          <w:rFonts w:cs="Arial"/>
          <w:color w:val="000000" w:themeColor="text1"/>
        </w:rPr>
        <w:t>2</w:t>
      </w:r>
      <w:r w:rsidRPr="00DA2F93">
        <w:rPr>
          <w:rFonts w:cs="Arial"/>
          <w:color w:val="000000" w:themeColor="text1"/>
        </w:rPr>
        <w:t xml:space="preserve">18 du Code Civil), le Stockeur et le </w:t>
      </w:r>
      <w:r w:rsidR="00B361C0">
        <w:rPr>
          <w:rFonts w:cs="Arial"/>
          <w:color w:val="000000" w:themeColor="text1"/>
        </w:rPr>
        <w:t>GRT</w:t>
      </w:r>
      <w:r w:rsidRPr="00DA2F93">
        <w:rPr>
          <w:rFonts w:cs="Arial"/>
          <w:color w:val="000000" w:themeColor="text1"/>
        </w:rPr>
        <w:t xml:space="preserve"> sont libérés de toutes leurs obligations de disponibilité et d’enlèvement sans avoir à verser d’indemnité à l’autre Partie.</w:t>
      </w:r>
      <w:r>
        <w:rPr>
          <w:rFonts w:cs="Arial"/>
          <w:color w:val="000000" w:themeColor="text1"/>
        </w:rPr>
        <w:t xml:space="preserve"> </w:t>
      </w:r>
      <w:r w:rsidR="00D71669" w:rsidRPr="00DA2F93">
        <w:rPr>
          <w:rFonts w:cs="Arial"/>
          <w:color w:val="000000" w:themeColor="text1"/>
        </w:rPr>
        <w:t xml:space="preserve">Toutefois, </w:t>
      </w:r>
      <w:r w:rsidR="00D71669" w:rsidRPr="00DA2F93">
        <w:rPr>
          <w:rFonts w:cs="Arial"/>
          <w:b/>
          <w:color w:val="000000" w:themeColor="text1"/>
        </w:rPr>
        <w:t xml:space="preserve">la Prime de Puissance Garantie continue d’être payée par </w:t>
      </w:r>
      <w:r w:rsidR="00D71669" w:rsidRPr="00DA2F93">
        <w:rPr>
          <w:rFonts w:cs="Arial"/>
          <w:b/>
          <w:color w:val="000000" w:themeColor="text1"/>
        </w:rPr>
        <w:lastRenderedPageBreak/>
        <w:t>l</w:t>
      </w:r>
      <w:r w:rsidR="00673CB8" w:rsidRPr="00DA2F93">
        <w:rPr>
          <w:rFonts w:cs="Arial"/>
          <w:b/>
          <w:color w:val="000000" w:themeColor="text1"/>
        </w:rPr>
        <w:t xml:space="preserve">e </w:t>
      </w:r>
      <w:r w:rsidR="00B361C0">
        <w:rPr>
          <w:rFonts w:cs="Arial"/>
          <w:b/>
          <w:color w:val="000000" w:themeColor="text1"/>
        </w:rPr>
        <w:t>GRT</w:t>
      </w:r>
      <w:r w:rsidR="00D71669" w:rsidRPr="00DA2F93">
        <w:rPr>
          <w:rFonts w:cs="Arial"/>
          <w:b/>
          <w:color w:val="000000" w:themeColor="text1"/>
        </w:rPr>
        <w:t xml:space="preserve"> au </w:t>
      </w:r>
      <w:r w:rsidR="00554628" w:rsidRPr="00DA2F93">
        <w:rPr>
          <w:rFonts w:cs="Arial"/>
          <w:b/>
          <w:color w:val="000000" w:themeColor="text1"/>
        </w:rPr>
        <w:t>Stockeur</w:t>
      </w:r>
      <w:r w:rsidR="00D71669" w:rsidRPr="00DA2F93">
        <w:rPr>
          <w:rFonts w:cs="Arial"/>
          <w:b/>
          <w:color w:val="000000" w:themeColor="text1"/>
        </w:rPr>
        <w:t xml:space="preserve"> pendant la période d’effectivité de la force majeure, dans la limite de </w:t>
      </w:r>
      <w:r w:rsidR="00031D10" w:rsidRPr="00DA2F93">
        <w:rPr>
          <w:rFonts w:cs="Arial"/>
          <w:b/>
          <w:color w:val="000000" w:themeColor="text1"/>
        </w:rPr>
        <w:t>12</w:t>
      </w:r>
      <w:r w:rsidR="00D71669" w:rsidRPr="00DA2F93">
        <w:rPr>
          <w:rFonts w:cs="Arial"/>
          <w:b/>
          <w:color w:val="000000" w:themeColor="text1"/>
        </w:rPr>
        <w:t xml:space="preserve"> mois</w:t>
      </w:r>
      <w:r w:rsidR="009A3D72" w:rsidRPr="00DA2F93">
        <w:rPr>
          <w:rFonts w:cs="Arial"/>
          <w:b/>
          <w:color w:val="000000" w:themeColor="text1"/>
        </w:rPr>
        <w:t xml:space="preserve"> et le système de </w:t>
      </w:r>
      <w:r w:rsidR="00F91892" w:rsidRPr="00DA2F93">
        <w:rPr>
          <w:rFonts w:cs="Arial"/>
          <w:b/>
          <w:color w:val="000000" w:themeColor="text1"/>
        </w:rPr>
        <w:t>Bonus-Malus</w:t>
      </w:r>
      <w:r w:rsidR="009A3D72" w:rsidRPr="00DA2F93">
        <w:rPr>
          <w:rFonts w:cs="Arial"/>
          <w:b/>
          <w:color w:val="000000" w:themeColor="text1"/>
        </w:rPr>
        <w:t xml:space="preserve"> et de pénalités est </w:t>
      </w:r>
      <w:proofErr w:type="gramStart"/>
      <w:r w:rsidR="009A3D72" w:rsidRPr="00DA2F93">
        <w:rPr>
          <w:rFonts w:cs="Arial"/>
          <w:b/>
          <w:color w:val="000000" w:themeColor="text1"/>
        </w:rPr>
        <w:t>suspendu</w:t>
      </w:r>
      <w:proofErr w:type="gramEnd"/>
      <w:r w:rsidR="00D71669" w:rsidRPr="00DA2F93">
        <w:rPr>
          <w:rFonts w:cs="Arial"/>
          <w:b/>
          <w:color w:val="000000" w:themeColor="text1"/>
        </w:rPr>
        <w:t>.</w:t>
      </w:r>
    </w:p>
    <w:p w14:paraId="17B937B9" w14:textId="5228A8D6" w:rsidR="00D71669" w:rsidRPr="00DA2F93" w:rsidRDefault="00D71669" w:rsidP="000548E3">
      <w:pPr>
        <w:jc w:val="both"/>
        <w:rPr>
          <w:rFonts w:cs="Arial"/>
          <w:color w:val="000000" w:themeColor="text1"/>
        </w:rPr>
      </w:pPr>
      <w:r w:rsidRPr="00DA2F93">
        <w:rPr>
          <w:rFonts w:cs="Arial"/>
          <w:color w:val="000000" w:themeColor="text1"/>
        </w:rPr>
        <w:t>A l’issue de la période de force majeure, l</w:t>
      </w:r>
      <w:r w:rsidR="00D9530F" w:rsidRPr="00DA2F93">
        <w:rPr>
          <w:rFonts w:cs="Arial"/>
          <w:color w:val="000000" w:themeColor="text1"/>
        </w:rPr>
        <w:t>e Bonus/Malus</w:t>
      </w:r>
      <w:r w:rsidRPr="00DA2F93">
        <w:rPr>
          <w:rFonts w:cs="Arial"/>
          <w:color w:val="000000" w:themeColor="text1"/>
        </w:rPr>
        <w:t xml:space="preserve"> est recalculé sur la période </w:t>
      </w:r>
      <w:r w:rsidR="00C77FE4">
        <w:rPr>
          <w:rFonts w:cs="Arial"/>
          <w:color w:val="000000" w:themeColor="text1"/>
        </w:rPr>
        <w:t>excluant la période d’effectivité de la</w:t>
      </w:r>
      <w:r w:rsidR="00C77FE4" w:rsidRPr="00DA2F93">
        <w:rPr>
          <w:rFonts w:cs="Arial"/>
          <w:color w:val="000000" w:themeColor="text1"/>
        </w:rPr>
        <w:t xml:space="preserve"> </w:t>
      </w:r>
      <w:r w:rsidRPr="00DA2F93">
        <w:rPr>
          <w:rFonts w:cs="Arial"/>
          <w:color w:val="000000" w:themeColor="text1"/>
        </w:rPr>
        <w:t>force majeure.</w:t>
      </w:r>
    </w:p>
    <w:p w14:paraId="379B7758" w14:textId="7CE1F381" w:rsidR="00D71669" w:rsidRPr="00DA2F93" w:rsidRDefault="00D71669" w:rsidP="000548E3">
      <w:pPr>
        <w:jc w:val="both"/>
        <w:rPr>
          <w:rFonts w:cs="Arial"/>
          <w:color w:val="000000" w:themeColor="text1"/>
        </w:rPr>
      </w:pPr>
      <w:r w:rsidRPr="00DA2F93">
        <w:rPr>
          <w:rFonts w:cs="Arial"/>
          <w:color w:val="000000" w:themeColor="text1"/>
        </w:rPr>
        <w:t xml:space="preserve">Si l’une des Parties </w:t>
      </w:r>
      <w:r w:rsidR="009A3D72" w:rsidRPr="00DA2F93">
        <w:rPr>
          <w:rFonts w:cs="Arial"/>
          <w:color w:val="000000" w:themeColor="text1"/>
        </w:rPr>
        <w:t>est affectée par la survenance d’un</w:t>
      </w:r>
      <w:r w:rsidRPr="00DA2F93">
        <w:rPr>
          <w:rFonts w:cs="Arial"/>
          <w:color w:val="000000" w:themeColor="text1"/>
        </w:rPr>
        <w:t xml:space="preserve"> cas de force majeure, elle doit le notifier par fax ou email</w:t>
      </w:r>
      <w:r w:rsidR="009A3D72" w:rsidRPr="00DA2F93">
        <w:rPr>
          <w:rFonts w:cs="Arial"/>
          <w:color w:val="000000" w:themeColor="text1"/>
        </w:rPr>
        <w:t xml:space="preserve"> avec AR</w:t>
      </w:r>
      <w:r w:rsidRPr="00DA2F93">
        <w:rPr>
          <w:rFonts w:cs="Arial"/>
          <w:color w:val="000000" w:themeColor="text1"/>
        </w:rPr>
        <w:t xml:space="preserve"> </w:t>
      </w:r>
      <w:r w:rsidR="005504FA" w:rsidRPr="00DA2F93">
        <w:rPr>
          <w:rFonts w:cs="Arial"/>
          <w:color w:val="000000" w:themeColor="text1"/>
        </w:rPr>
        <w:t>dans les plus brefs délais</w:t>
      </w:r>
      <w:r w:rsidR="009A3D72" w:rsidRPr="00DA2F93">
        <w:rPr>
          <w:rFonts w:cs="Arial"/>
          <w:color w:val="000000" w:themeColor="text1"/>
        </w:rPr>
        <w:t>,</w:t>
      </w:r>
      <w:r w:rsidR="005504FA" w:rsidRPr="00DA2F93">
        <w:rPr>
          <w:rFonts w:cs="Arial"/>
          <w:color w:val="000000" w:themeColor="text1"/>
        </w:rPr>
        <w:t xml:space="preserve"> </w:t>
      </w:r>
      <w:r w:rsidRPr="00DA2F93">
        <w:rPr>
          <w:rFonts w:cs="Arial"/>
          <w:color w:val="000000" w:themeColor="text1"/>
        </w:rPr>
        <w:t xml:space="preserve">confirmé par lettre recommandée avec accusé de réception à l’autre Partie en décrivant l’événement de force majeure </w:t>
      </w:r>
      <w:r w:rsidR="009A3D72" w:rsidRPr="00DA2F93">
        <w:rPr>
          <w:rFonts w:cs="Arial"/>
          <w:color w:val="000000" w:themeColor="text1"/>
        </w:rPr>
        <w:t xml:space="preserve">invoqué </w:t>
      </w:r>
      <w:r w:rsidRPr="00DA2F93">
        <w:rPr>
          <w:rFonts w:cs="Arial"/>
          <w:color w:val="000000" w:themeColor="text1"/>
        </w:rPr>
        <w:t xml:space="preserve">et ses conséquences sur l’exécution du présent </w:t>
      </w:r>
      <w:r w:rsidR="00C77FE4">
        <w:rPr>
          <w:rFonts w:cs="Arial"/>
          <w:color w:val="000000" w:themeColor="text1"/>
        </w:rPr>
        <w:t>C</w:t>
      </w:r>
      <w:r w:rsidR="00C77FE4" w:rsidRPr="00DA2F93">
        <w:rPr>
          <w:rFonts w:cs="Arial"/>
          <w:color w:val="000000" w:themeColor="text1"/>
        </w:rPr>
        <w:t>ontrat</w:t>
      </w:r>
      <w:r w:rsidRPr="00DA2F93">
        <w:rPr>
          <w:rFonts w:cs="Arial"/>
          <w:color w:val="000000" w:themeColor="text1"/>
        </w:rPr>
        <w:t xml:space="preserve">. L’autre Partie est tenue d’accepter ou de refuser la qualification de force majeure dans un délai de 5 jours </w:t>
      </w:r>
      <w:r w:rsidR="00E10981" w:rsidRPr="00DA2F93">
        <w:rPr>
          <w:rFonts w:cs="Arial"/>
          <w:color w:val="000000" w:themeColor="text1"/>
        </w:rPr>
        <w:t>ouvr</w:t>
      </w:r>
      <w:r w:rsidR="00E10981">
        <w:rPr>
          <w:rFonts w:cs="Arial"/>
          <w:color w:val="000000" w:themeColor="text1"/>
        </w:rPr>
        <w:t>é</w:t>
      </w:r>
      <w:r w:rsidR="00E10981" w:rsidRPr="00DA2F93">
        <w:rPr>
          <w:rFonts w:cs="Arial"/>
          <w:color w:val="000000" w:themeColor="text1"/>
        </w:rPr>
        <w:t xml:space="preserve">s </w:t>
      </w:r>
      <w:r w:rsidRPr="00DA2F93">
        <w:rPr>
          <w:rFonts w:cs="Arial"/>
          <w:color w:val="000000" w:themeColor="text1"/>
        </w:rPr>
        <w:t xml:space="preserve">après réception du courrier recommandé. A l’issue du délai de 5 jours, les Parties se rencontrent en vue de statuer sur la durée </w:t>
      </w:r>
      <w:r w:rsidR="005504FA" w:rsidRPr="00DA2F93">
        <w:rPr>
          <w:rFonts w:cs="Arial"/>
          <w:color w:val="000000" w:themeColor="text1"/>
        </w:rPr>
        <w:t xml:space="preserve">probable </w:t>
      </w:r>
      <w:r w:rsidRPr="00DA2F93">
        <w:rPr>
          <w:rFonts w:cs="Arial"/>
          <w:color w:val="000000" w:themeColor="text1"/>
        </w:rPr>
        <w:t xml:space="preserve">de la </w:t>
      </w:r>
      <w:r w:rsidR="003D58C7" w:rsidRPr="00DA2F93">
        <w:rPr>
          <w:rFonts w:cs="Arial"/>
          <w:color w:val="000000" w:themeColor="text1"/>
        </w:rPr>
        <w:t xml:space="preserve">situation de </w:t>
      </w:r>
      <w:r w:rsidRPr="00DA2F93">
        <w:rPr>
          <w:rFonts w:cs="Arial"/>
          <w:color w:val="000000" w:themeColor="text1"/>
        </w:rPr>
        <w:t>force majeure et de définir d’un commun accord les dispositions à mettre en œuvre pour pallier les effets de la situation de force majeure.</w:t>
      </w:r>
    </w:p>
    <w:p w14:paraId="623E3B37" w14:textId="77777777" w:rsidR="00D71669" w:rsidRPr="00DA2F93" w:rsidRDefault="00D71669" w:rsidP="000548E3">
      <w:pPr>
        <w:jc w:val="both"/>
        <w:rPr>
          <w:rFonts w:cs="Arial"/>
          <w:color w:val="000000" w:themeColor="text1"/>
        </w:rPr>
      </w:pPr>
    </w:p>
    <w:p w14:paraId="08729B6E" w14:textId="7E327929" w:rsidR="00D71669" w:rsidRPr="00DA2F93" w:rsidRDefault="00D71669" w:rsidP="000548E3">
      <w:pPr>
        <w:jc w:val="both"/>
        <w:rPr>
          <w:rFonts w:cs="Arial"/>
          <w:color w:val="000000" w:themeColor="text1"/>
        </w:rPr>
      </w:pPr>
      <w:r w:rsidRPr="00DA2F93">
        <w:rPr>
          <w:rFonts w:cs="Arial"/>
          <w:color w:val="000000" w:themeColor="text1"/>
        </w:rPr>
        <w:t>En cas de désaccord la procédure de règlement des différends prévue au §</w:t>
      </w:r>
      <w:r w:rsidR="00AC743D" w:rsidRPr="00DA2F93">
        <w:rPr>
          <w:rFonts w:cs="Arial"/>
          <w:color w:val="000000" w:themeColor="text1"/>
        </w:rPr>
        <w:t xml:space="preserve"> </w:t>
      </w:r>
      <w:r w:rsidR="00C71C22" w:rsidRPr="00DA2F93">
        <w:fldChar w:fldCharType="begin"/>
      </w:r>
      <w:r w:rsidR="00C71C22" w:rsidRPr="00DA2F93">
        <w:instrText xml:space="preserve"> REF _Ref382124315 \r \h  \* MERGEFORMAT </w:instrText>
      </w:r>
      <w:r w:rsidR="00C71C22" w:rsidRPr="00DA2F93">
        <w:fldChar w:fldCharType="separate"/>
      </w:r>
      <w:r w:rsidR="0042414D" w:rsidRPr="000243CB">
        <w:rPr>
          <w:rFonts w:cs="Arial"/>
          <w:color w:val="000000" w:themeColor="text1"/>
        </w:rPr>
        <w:t>28</w:t>
      </w:r>
      <w:r w:rsidR="00C71C22" w:rsidRPr="00DA2F93">
        <w:fldChar w:fldCharType="end"/>
      </w:r>
      <w:r w:rsidR="00E021F8" w:rsidRPr="00DA2F93">
        <w:rPr>
          <w:rFonts w:cs="Arial"/>
          <w:color w:val="000000" w:themeColor="text1"/>
        </w:rPr>
        <w:t xml:space="preserve"> </w:t>
      </w:r>
      <w:r w:rsidRPr="00DA2F93">
        <w:rPr>
          <w:rFonts w:cs="Arial"/>
          <w:color w:val="000000" w:themeColor="text1"/>
        </w:rPr>
        <w:t>s’applique.</w:t>
      </w:r>
    </w:p>
    <w:p w14:paraId="2FC17466" w14:textId="77777777" w:rsidR="00D71669" w:rsidRPr="00DA2F93" w:rsidRDefault="00D71669" w:rsidP="000548E3">
      <w:pPr>
        <w:jc w:val="both"/>
        <w:rPr>
          <w:rFonts w:cs="Arial"/>
          <w:color w:val="000000" w:themeColor="text1"/>
        </w:rPr>
      </w:pPr>
    </w:p>
    <w:p w14:paraId="2B9B31B1" w14:textId="77777777" w:rsidR="00D71669" w:rsidRPr="00DA2F93" w:rsidRDefault="00D71669" w:rsidP="000548E3">
      <w:pPr>
        <w:jc w:val="both"/>
        <w:rPr>
          <w:color w:val="000000" w:themeColor="text1"/>
          <w:szCs w:val="24"/>
        </w:rPr>
      </w:pPr>
      <w:r w:rsidRPr="00DA2F93">
        <w:rPr>
          <w:color w:val="000000" w:themeColor="text1"/>
          <w:szCs w:val="24"/>
        </w:rPr>
        <w:t xml:space="preserve">En sus des circonstances habituelles répondant à la définition de la force majeure donnée par la loi et par la jurisprudence, les Parties conviennent que sont </w:t>
      </w:r>
      <w:r w:rsidR="009A3D72" w:rsidRPr="00DA2F93">
        <w:rPr>
          <w:color w:val="000000" w:themeColor="text1"/>
          <w:szCs w:val="24"/>
        </w:rPr>
        <w:t xml:space="preserve">conventionnellement </w:t>
      </w:r>
      <w:r w:rsidR="00031D10" w:rsidRPr="00DA2F93">
        <w:rPr>
          <w:color w:val="000000" w:themeColor="text1"/>
          <w:szCs w:val="24"/>
        </w:rPr>
        <w:t>assimilés</w:t>
      </w:r>
      <w:r w:rsidRPr="00DA2F93">
        <w:rPr>
          <w:color w:val="000000" w:themeColor="text1"/>
          <w:szCs w:val="24"/>
        </w:rPr>
        <w:t xml:space="preserve"> à des événements de </w:t>
      </w:r>
      <w:r w:rsidR="009A3D72" w:rsidRPr="00DA2F93">
        <w:rPr>
          <w:color w:val="000000" w:themeColor="text1"/>
          <w:szCs w:val="24"/>
        </w:rPr>
        <w:t xml:space="preserve">force majeure </w:t>
      </w:r>
      <w:r w:rsidR="00A5372E" w:rsidRPr="00DA2F93">
        <w:rPr>
          <w:color w:val="000000" w:themeColor="text1"/>
          <w:szCs w:val="24"/>
        </w:rPr>
        <w:t>les événements suivants</w:t>
      </w:r>
      <w:r w:rsidR="009A3D72" w:rsidRPr="00DA2F93">
        <w:rPr>
          <w:color w:val="000000" w:themeColor="text1"/>
          <w:szCs w:val="24"/>
        </w:rPr>
        <w:t xml:space="preserve"> </w:t>
      </w:r>
      <w:r w:rsidRPr="00DA2F93">
        <w:rPr>
          <w:color w:val="000000" w:themeColor="text1"/>
          <w:szCs w:val="24"/>
        </w:rPr>
        <w:t>:</w:t>
      </w:r>
    </w:p>
    <w:p w14:paraId="7BCE1576" w14:textId="77777777" w:rsidR="00D71669" w:rsidRPr="00DA2F93" w:rsidRDefault="00D71669" w:rsidP="008544B3">
      <w:pPr>
        <w:pStyle w:val="Paragraphedeliste"/>
        <w:numPr>
          <w:ilvl w:val="0"/>
          <w:numId w:val="6"/>
        </w:numPr>
        <w:jc w:val="both"/>
        <w:rPr>
          <w:color w:val="000000" w:themeColor="text1"/>
        </w:rPr>
      </w:pPr>
      <w:r w:rsidRPr="00DA2F93">
        <w:rPr>
          <w:color w:val="000000" w:themeColor="text1"/>
        </w:rPr>
        <w:t xml:space="preserve">une grève des dockers ou des </w:t>
      </w:r>
      <w:r w:rsidR="006916D8" w:rsidRPr="00DA2F93">
        <w:rPr>
          <w:color w:val="000000" w:themeColor="text1"/>
        </w:rPr>
        <w:t>d</w:t>
      </w:r>
      <w:r w:rsidR="007C6DC1" w:rsidRPr="00DA2F93">
        <w:rPr>
          <w:color w:val="000000" w:themeColor="text1"/>
        </w:rPr>
        <w:t>istribut</w:t>
      </w:r>
      <w:r w:rsidRPr="00DA2F93">
        <w:rPr>
          <w:color w:val="000000" w:themeColor="text1"/>
        </w:rPr>
        <w:t>eurs ou toutes Administrations Portuaires au-delà de 30 jours empêchan</w:t>
      </w:r>
      <w:r w:rsidR="009A05FC" w:rsidRPr="00DA2F93">
        <w:rPr>
          <w:color w:val="000000" w:themeColor="text1"/>
        </w:rPr>
        <w:t>t l'approvisionnement de l'</w:t>
      </w:r>
      <w:r w:rsidR="00444045" w:rsidRPr="00DA2F93">
        <w:rPr>
          <w:color w:val="000000" w:themeColor="text1"/>
        </w:rPr>
        <w:t>Installation</w:t>
      </w:r>
      <w:r w:rsidRPr="00DA2F93">
        <w:rPr>
          <w:color w:val="000000" w:themeColor="text1"/>
        </w:rPr>
        <w:t xml:space="preserve"> en pièces de rechange </w:t>
      </w:r>
      <w:r w:rsidR="00031D10" w:rsidRPr="00DA2F93">
        <w:rPr>
          <w:color w:val="000000" w:themeColor="text1"/>
        </w:rPr>
        <w:t xml:space="preserve">ou consommables </w:t>
      </w:r>
      <w:r w:rsidRPr="00DA2F93">
        <w:rPr>
          <w:color w:val="000000" w:themeColor="text1"/>
        </w:rPr>
        <w:t>nécessaire à son fonctionnement</w:t>
      </w:r>
      <w:r w:rsidR="009A05FC" w:rsidRPr="00DA2F93">
        <w:rPr>
          <w:color w:val="000000" w:themeColor="text1"/>
        </w:rPr>
        <w:t> ;</w:t>
      </w:r>
    </w:p>
    <w:p w14:paraId="2C1A389E" w14:textId="77777777" w:rsidR="00D71669" w:rsidRPr="00DA2F93" w:rsidRDefault="00D71669" w:rsidP="008544B3">
      <w:pPr>
        <w:pStyle w:val="Paragraphedeliste"/>
        <w:numPr>
          <w:ilvl w:val="0"/>
          <w:numId w:val="6"/>
        </w:numPr>
        <w:jc w:val="both"/>
        <w:rPr>
          <w:color w:val="000000" w:themeColor="text1"/>
        </w:rPr>
      </w:pPr>
      <w:r w:rsidRPr="00DA2F93">
        <w:rPr>
          <w:color w:val="000000" w:themeColor="text1"/>
        </w:rPr>
        <w:t>une grève nationale ayant des répercussions locales (mouvement de grève nationale déclenché par une ou plusieurs fédérations et / ou confédérations syndicales et suivi par le personnel exploitant de l’</w:t>
      </w:r>
      <w:r w:rsidR="00444045" w:rsidRPr="00DA2F93">
        <w:rPr>
          <w:color w:val="000000" w:themeColor="text1"/>
        </w:rPr>
        <w:t>Installation</w:t>
      </w:r>
      <w:r w:rsidRPr="00DA2F93">
        <w:rPr>
          <w:color w:val="000000" w:themeColor="text1"/>
        </w:rPr>
        <w:t xml:space="preserve"> ou d’EDF SEI) entraînant une </w:t>
      </w:r>
      <w:r w:rsidR="00577143" w:rsidRPr="00DA2F93">
        <w:rPr>
          <w:color w:val="000000" w:themeColor="text1"/>
        </w:rPr>
        <w:t xml:space="preserve">indisponibilité </w:t>
      </w:r>
      <w:r w:rsidR="009A05FC" w:rsidRPr="00DA2F93">
        <w:rPr>
          <w:color w:val="000000" w:themeColor="text1"/>
        </w:rPr>
        <w:t>de l’</w:t>
      </w:r>
      <w:r w:rsidR="00444045" w:rsidRPr="00DA2F93">
        <w:rPr>
          <w:color w:val="000000" w:themeColor="text1"/>
        </w:rPr>
        <w:t>Installation</w:t>
      </w:r>
      <w:r w:rsidRPr="00DA2F93">
        <w:rPr>
          <w:color w:val="000000" w:themeColor="text1"/>
        </w:rPr>
        <w:t xml:space="preserve">, ou des perturbations sur le réseau </w:t>
      </w:r>
      <w:r w:rsidR="009A05FC" w:rsidRPr="00DA2F93">
        <w:rPr>
          <w:color w:val="000000" w:themeColor="text1"/>
        </w:rPr>
        <w:t xml:space="preserve">impactant l’injection </w:t>
      </w:r>
      <w:r w:rsidR="00577143" w:rsidRPr="00DA2F93">
        <w:rPr>
          <w:color w:val="000000" w:themeColor="text1"/>
        </w:rPr>
        <w:t>et le soutirage</w:t>
      </w:r>
      <w:r w:rsidR="009A05FC" w:rsidRPr="00DA2F93">
        <w:rPr>
          <w:color w:val="000000" w:themeColor="text1"/>
        </w:rPr>
        <w:t xml:space="preserve"> de l’</w:t>
      </w:r>
      <w:r w:rsidR="00444045" w:rsidRPr="00DA2F93">
        <w:rPr>
          <w:color w:val="000000" w:themeColor="text1"/>
        </w:rPr>
        <w:t>Installation</w:t>
      </w:r>
      <w:r w:rsidR="009A05FC" w:rsidRPr="00DA2F93">
        <w:rPr>
          <w:color w:val="000000" w:themeColor="text1"/>
        </w:rPr>
        <w:t> ;</w:t>
      </w:r>
      <w:r w:rsidRPr="00DA2F93">
        <w:rPr>
          <w:color w:val="000000" w:themeColor="text1"/>
        </w:rPr>
        <w:t xml:space="preserve"> </w:t>
      </w:r>
    </w:p>
    <w:p w14:paraId="04FADCD8" w14:textId="77777777" w:rsidR="00D71669" w:rsidRPr="00DA2F93" w:rsidRDefault="00D71669" w:rsidP="008544B3">
      <w:pPr>
        <w:pStyle w:val="Paragraphedeliste"/>
        <w:numPr>
          <w:ilvl w:val="0"/>
          <w:numId w:val="6"/>
        </w:numPr>
        <w:jc w:val="both"/>
        <w:rPr>
          <w:color w:val="000000" w:themeColor="text1"/>
        </w:rPr>
      </w:pPr>
      <w:r w:rsidRPr="00DA2F93">
        <w:rPr>
          <w:color w:val="000000" w:themeColor="text1"/>
        </w:rPr>
        <w:t>des destructions volontaires dues à des actes de guerre, émeutes, pillages, sabotages, attentats, atteintes délictuelles ;</w:t>
      </w:r>
    </w:p>
    <w:p w14:paraId="26F6FCF9" w14:textId="77777777" w:rsidR="00D71669" w:rsidRPr="00DA2F93" w:rsidRDefault="00D71669" w:rsidP="008544B3">
      <w:pPr>
        <w:pStyle w:val="Paragraphedeliste"/>
        <w:numPr>
          <w:ilvl w:val="0"/>
          <w:numId w:val="6"/>
        </w:numPr>
        <w:jc w:val="both"/>
        <w:rPr>
          <w:color w:val="000000" w:themeColor="text1"/>
        </w:rPr>
      </w:pPr>
      <w:r w:rsidRPr="00DA2F93">
        <w:rPr>
          <w:color w:val="000000" w:themeColor="text1"/>
        </w:rPr>
        <w:t>des dommages causés par des faits accidentels, imputables à des tiers et</w:t>
      </w:r>
      <w:r w:rsidR="0069268E" w:rsidRPr="00DA2F93">
        <w:rPr>
          <w:color w:val="000000" w:themeColor="text1"/>
        </w:rPr>
        <w:t xml:space="preserve"> non maî</w:t>
      </w:r>
      <w:r w:rsidRPr="00DA2F93">
        <w:rPr>
          <w:color w:val="000000" w:themeColor="text1"/>
        </w:rPr>
        <w:t>trisables par les Parties, tels qu’incendies, explosions, chutes d'avions ;</w:t>
      </w:r>
    </w:p>
    <w:p w14:paraId="6C53A044" w14:textId="77777777" w:rsidR="00D71669" w:rsidRPr="00DA2F93" w:rsidRDefault="00D71669" w:rsidP="008544B3">
      <w:pPr>
        <w:pStyle w:val="Paragraphedeliste"/>
        <w:numPr>
          <w:ilvl w:val="0"/>
          <w:numId w:val="6"/>
        </w:numPr>
        <w:jc w:val="both"/>
        <w:rPr>
          <w:color w:val="000000" w:themeColor="text1"/>
        </w:rPr>
      </w:pPr>
      <w:r w:rsidRPr="00DA2F93">
        <w:rPr>
          <w:color w:val="000000" w:themeColor="text1"/>
        </w:rPr>
        <w:t>des catastrophes naturelles au sens de la loi N°82600 du</w:t>
      </w:r>
      <w:r w:rsidR="009A05FC" w:rsidRPr="00DA2F93">
        <w:rPr>
          <w:color w:val="000000" w:themeColor="text1"/>
        </w:rPr>
        <w:t xml:space="preserve"> 13 juillet 1982, c'est-à-dire </w:t>
      </w:r>
      <w:r w:rsidRPr="00DA2F93">
        <w:rPr>
          <w:color w:val="000000" w:themeColor="text1"/>
        </w:rPr>
        <w:t>des dommages matériels directs ayant pour cause déterminante l'intensité anormale d'un agent naturel, lorsque les mesures habituelles à prendre pour prévenir ces dommages n'ont pu empêcher leur survenance ou n'ont pu être prises ;</w:t>
      </w:r>
    </w:p>
    <w:p w14:paraId="5F38394D" w14:textId="0968F52F" w:rsidR="00D71669" w:rsidRPr="00DA2F93" w:rsidRDefault="00D71669" w:rsidP="008544B3">
      <w:pPr>
        <w:pStyle w:val="Paragraphedeliste"/>
        <w:numPr>
          <w:ilvl w:val="0"/>
          <w:numId w:val="6"/>
        </w:numPr>
        <w:jc w:val="both"/>
        <w:rPr>
          <w:color w:val="000000" w:themeColor="text1"/>
        </w:rPr>
      </w:pPr>
      <w:r w:rsidRPr="00DA2F93">
        <w:rPr>
          <w:color w:val="000000" w:themeColor="text1"/>
        </w:rPr>
        <w:t>des phénomènes atmosphériques irrésistibles par leur cause et par leur ampleur et auxquels les réseaux électriques et notamment aériens sont particulièrement vulnérables</w:t>
      </w:r>
      <w:r w:rsidR="00747AAB" w:rsidRPr="00DA2F93">
        <w:rPr>
          <w:color w:val="000000" w:themeColor="text1"/>
        </w:rPr>
        <w:t xml:space="preserve"> </w:t>
      </w:r>
      <w:r w:rsidR="00B119E3">
        <w:rPr>
          <w:color w:val="000000" w:themeColor="text1"/>
        </w:rPr>
        <w:t>notamment les</w:t>
      </w:r>
      <w:r w:rsidR="00747AAB" w:rsidRPr="00DA2F93">
        <w:rPr>
          <w:color w:val="000000" w:themeColor="text1"/>
        </w:rPr>
        <w:t xml:space="preserve"> tempêtes, cyclone</w:t>
      </w:r>
      <w:r w:rsidR="00C77FE4">
        <w:rPr>
          <w:color w:val="000000" w:themeColor="text1"/>
        </w:rPr>
        <w:t>s</w:t>
      </w:r>
      <w:r w:rsidR="00747AAB" w:rsidRPr="00DA2F93">
        <w:rPr>
          <w:color w:val="000000" w:themeColor="text1"/>
        </w:rPr>
        <w:t>… ;</w:t>
      </w:r>
    </w:p>
    <w:p w14:paraId="0AFB2EB2" w14:textId="77777777" w:rsidR="00D71669" w:rsidRPr="00DA2F93" w:rsidRDefault="00D71669" w:rsidP="008544B3">
      <w:pPr>
        <w:pStyle w:val="Paragraphedeliste"/>
        <w:numPr>
          <w:ilvl w:val="0"/>
          <w:numId w:val="6"/>
        </w:numPr>
        <w:jc w:val="both"/>
        <w:rPr>
          <w:color w:val="000000" w:themeColor="text1"/>
        </w:rPr>
      </w:pPr>
      <w:r w:rsidRPr="00DA2F93">
        <w:rPr>
          <w:color w:val="000000" w:themeColor="text1"/>
        </w:rPr>
        <w:t>des mises hors service d'ouvrages imposées par les Pouvoirs Publics pour des motifs de sécurité publique ou de police.</w:t>
      </w:r>
    </w:p>
    <w:p w14:paraId="613B0F78" w14:textId="77777777" w:rsidR="00D71669" w:rsidRPr="00DA2F93" w:rsidRDefault="00D71669" w:rsidP="000548E3">
      <w:pPr>
        <w:tabs>
          <w:tab w:val="left" w:pos="1470"/>
          <w:tab w:val="left" w:pos="3545"/>
          <w:tab w:val="right" w:pos="10469"/>
        </w:tabs>
        <w:ind w:left="284" w:hanging="284"/>
        <w:jc w:val="both"/>
        <w:rPr>
          <w:color w:val="000000" w:themeColor="text1"/>
          <w:szCs w:val="24"/>
        </w:rPr>
      </w:pPr>
    </w:p>
    <w:p w14:paraId="31CD6043" w14:textId="77777777" w:rsidR="00D71669" w:rsidRDefault="00D71669" w:rsidP="00A77136">
      <w:pPr>
        <w:jc w:val="both"/>
        <w:rPr>
          <w:rFonts w:cs="Arial"/>
          <w:color w:val="000000" w:themeColor="text1"/>
        </w:rPr>
      </w:pPr>
      <w:r w:rsidRPr="00DA2F93">
        <w:rPr>
          <w:rFonts w:cs="Arial"/>
          <w:color w:val="000000" w:themeColor="text1"/>
        </w:rPr>
        <w:t>Dans l’hypothèse où</w:t>
      </w:r>
      <w:r w:rsidR="00A77136" w:rsidRPr="00DA2F93">
        <w:rPr>
          <w:rFonts w:cs="Arial"/>
          <w:color w:val="000000" w:themeColor="text1"/>
        </w:rPr>
        <w:t xml:space="preserve"> </w:t>
      </w:r>
      <w:r w:rsidR="00BC5096" w:rsidRPr="00DA2F93">
        <w:rPr>
          <w:rFonts w:cs="Arial"/>
          <w:color w:val="000000" w:themeColor="text1"/>
        </w:rPr>
        <w:t>un cas de force majeure aurait pour conséquence</w:t>
      </w:r>
      <w:r w:rsidR="00A77136" w:rsidRPr="00DA2F93">
        <w:rPr>
          <w:rFonts w:cs="Arial"/>
          <w:color w:val="000000" w:themeColor="text1"/>
        </w:rPr>
        <w:t xml:space="preserve"> la destruction partielle ou totale de l’Installation et où il serait constaté </w:t>
      </w:r>
      <w:r w:rsidR="00BC5096" w:rsidRPr="00DA2F93">
        <w:rPr>
          <w:rFonts w:cs="Arial"/>
          <w:color w:val="000000" w:themeColor="text1"/>
        </w:rPr>
        <w:t xml:space="preserve">l’incapacité définitive du </w:t>
      </w:r>
      <w:r w:rsidR="00554628" w:rsidRPr="00DA2F93">
        <w:rPr>
          <w:rFonts w:cs="Arial"/>
          <w:color w:val="000000" w:themeColor="text1"/>
        </w:rPr>
        <w:t>Stockeur</w:t>
      </w:r>
      <w:r w:rsidR="00BC5096" w:rsidRPr="00DA2F93">
        <w:rPr>
          <w:rFonts w:cs="Arial"/>
          <w:color w:val="000000" w:themeColor="text1"/>
        </w:rPr>
        <w:t xml:space="preserve"> </w:t>
      </w:r>
      <w:r w:rsidR="00A77136" w:rsidRPr="00DA2F93">
        <w:rPr>
          <w:rFonts w:cs="Arial"/>
          <w:color w:val="000000" w:themeColor="text1"/>
        </w:rPr>
        <w:t>de la</w:t>
      </w:r>
      <w:r w:rsidR="00BC5096" w:rsidRPr="00DA2F93">
        <w:rPr>
          <w:rFonts w:cs="Arial"/>
          <w:color w:val="000000" w:themeColor="text1"/>
        </w:rPr>
        <w:t xml:space="preserve"> remettre en service, </w:t>
      </w:r>
      <w:r w:rsidR="00095418" w:rsidRPr="00DA2F93">
        <w:rPr>
          <w:rFonts w:cs="Arial"/>
          <w:color w:val="000000" w:themeColor="text1"/>
        </w:rPr>
        <w:t xml:space="preserve">les Parties se rencontreront dans les plus brefs délais en vue de déterminer ensemble le sort du contrat et les conséquences d’une éventuelle </w:t>
      </w:r>
      <w:r w:rsidR="0052021F" w:rsidRPr="00DA2F93">
        <w:rPr>
          <w:rFonts w:cs="Arial"/>
          <w:color w:val="000000" w:themeColor="text1"/>
        </w:rPr>
        <w:t>résiliation</w:t>
      </w:r>
      <w:r w:rsidR="00095418" w:rsidRPr="00DA2F93">
        <w:rPr>
          <w:rFonts w:cs="Arial"/>
          <w:color w:val="000000" w:themeColor="text1"/>
        </w:rPr>
        <w:t xml:space="preserve"> de ce derni</w:t>
      </w:r>
      <w:r w:rsidR="0076571E" w:rsidRPr="00DA2F93">
        <w:rPr>
          <w:rFonts w:cs="Arial"/>
          <w:color w:val="000000" w:themeColor="text1"/>
        </w:rPr>
        <w:t>er</w:t>
      </w:r>
      <w:r w:rsidR="0052021F" w:rsidRPr="00DA2F93">
        <w:rPr>
          <w:rFonts w:cs="Arial"/>
          <w:color w:val="000000" w:themeColor="text1"/>
        </w:rPr>
        <w:t>.</w:t>
      </w:r>
    </w:p>
    <w:p w14:paraId="29D06571" w14:textId="77777777" w:rsidR="009A0687" w:rsidRPr="00DA2F93" w:rsidRDefault="009A0687" w:rsidP="00A77136">
      <w:pPr>
        <w:jc w:val="both"/>
        <w:rPr>
          <w:rFonts w:cs="Arial"/>
          <w:color w:val="000000" w:themeColor="text1"/>
        </w:rPr>
      </w:pPr>
    </w:p>
    <w:p w14:paraId="300EFE40" w14:textId="77777777" w:rsidR="00D71669" w:rsidRPr="00DA2F93" w:rsidRDefault="00E021F8" w:rsidP="000548E3">
      <w:pPr>
        <w:pStyle w:val="EDFTitre1"/>
        <w:jc w:val="both"/>
      </w:pPr>
      <w:bookmarkStart w:id="439" w:name="_Ref382124315"/>
      <w:bookmarkStart w:id="440" w:name="_Toc388896115"/>
      <w:bookmarkStart w:id="441" w:name="_Toc108113993"/>
      <w:bookmarkStart w:id="442" w:name="_Toc110436509"/>
      <w:r w:rsidRPr="00DA2F93">
        <w:t>Réglement des différends</w:t>
      </w:r>
      <w:bookmarkEnd w:id="439"/>
      <w:bookmarkEnd w:id="440"/>
      <w:bookmarkEnd w:id="441"/>
      <w:bookmarkEnd w:id="442"/>
    </w:p>
    <w:p w14:paraId="4A3CA1A9" w14:textId="6DEB4525" w:rsidR="001B6AE9" w:rsidRPr="00DA2F93" w:rsidRDefault="00DF2B0B" w:rsidP="001B6AE9">
      <w:pPr>
        <w:jc w:val="both"/>
        <w:rPr>
          <w:rFonts w:cs="Arial"/>
          <w:color w:val="000000"/>
        </w:rPr>
      </w:pPr>
      <w:r w:rsidRPr="00DA2F93">
        <w:rPr>
          <w:rFonts w:cs="Arial"/>
          <w:color w:val="000000"/>
        </w:rPr>
        <w:t>Les parties s'efforcent de résoudre à l'amiable tout différend relatif à la validité, l'interprétation ou l'exécution au</w:t>
      </w:r>
      <w:r w:rsidR="002A3CBC" w:rsidRPr="00DA2F93">
        <w:rPr>
          <w:rFonts w:cs="Arial"/>
          <w:color w:val="000000"/>
        </w:rPr>
        <w:t xml:space="preserve">quel donnerait lieu le </w:t>
      </w:r>
      <w:r w:rsidR="00C77FE4">
        <w:rPr>
          <w:rFonts w:cs="Arial"/>
          <w:color w:val="000000"/>
        </w:rPr>
        <w:t>C</w:t>
      </w:r>
      <w:r w:rsidR="00C77FE4" w:rsidRPr="00DA2F93">
        <w:rPr>
          <w:rFonts w:cs="Arial"/>
          <w:color w:val="000000"/>
        </w:rPr>
        <w:t>ontrat</w:t>
      </w:r>
      <w:r w:rsidR="0076571E" w:rsidRPr="00DA2F93">
        <w:rPr>
          <w:rFonts w:cs="Arial"/>
          <w:color w:val="000000"/>
        </w:rPr>
        <w:t>.</w:t>
      </w:r>
    </w:p>
    <w:p w14:paraId="1312A404" w14:textId="77777777" w:rsidR="001B6AE9" w:rsidRPr="00DA2F93" w:rsidRDefault="00DF2B0B" w:rsidP="001B6AE9">
      <w:pPr>
        <w:jc w:val="both"/>
        <w:rPr>
          <w:rFonts w:cs="Arial"/>
          <w:color w:val="000000"/>
        </w:rPr>
      </w:pPr>
      <w:r w:rsidRPr="00DA2F93">
        <w:rPr>
          <w:rFonts w:cs="Arial"/>
          <w:color w:val="000000"/>
        </w:rPr>
        <w:t xml:space="preserve">Tout différend doit être dûment notifié par </w:t>
      </w:r>
      <w:r w:rsidR="002A3CBC" w:rsidRPr="00DA2F93">
        <w:rPr>
          <w:rFonts w:cs="Arial"/>
          <w:color w:val="000000"/>
        </w:rPr>
        <w:t>la Partie requérante à l'autre P</w:t>
      </w:r>
      <w:r w:rsidRPr="00DA2F93">
        <w:rPr>
          <w:rFonts w:cs="Arial"/>
          <w:color w:val="000000"/>
        </w:rPr>
        <w:t>artie par lettre recommandée avec accusé de réception et en se référant expres</w:t>
      </w:r>
      <w:r w:rsidR="002A3CBC" w:rsidRPr="00DA2F93">
        <w:rPr>
          <w:rFonts w:cs="Arial"/>
          <w:color w:val="000000"/>
        </w:rPr>
        <w:t>sément au présent article. Les P</w:t>
      </w:r>
      <w:r w:rsidRPr="00DA2F93">
        <w:rPr>
          <w:rFonts w:cs="Arial"/>
          <w:color w:val="000000"/>
        </w:rPr>
        <w:t xml:space="preserve">arties disposent </w:t>
      </w:r>
      <w:r w:rsidRPr="00DA2F93">
        <w:rPr>
          <w:rFonts w:cs="Arial"/>
          <w:color w:val="000000"/>
        </w:rPr>
        <w:lastRenderedPageBreak/>
        <w:t xml:space="preserve">alors d'un délai de 60 jours calendaires pour tenter de régler le différend à l'amiable à compter de la réception de ladite notification. </w:t>
      </w:r>
    </w:p>
    <w:p w14:paraId="4D2AFC34" w14:textId="77777777" w:rsidR="001B6AE9" w:rsidRPr="00DA2F93" w:rsidRDefault="00DF2B0B" w:rsidP="001B6AE9">
      <w:pPr>
        <w:jc w:val="both"/>
        <w:rPr>
          <w:rFonts w:cs="Arial"/>
          <w:color w:val="000000"/>
        </w:rPr>
      </w:pPr>
      <w:r w:rsidRPr="00DA2F93">
        <w:rPr>
          <w:rFonts w:cs="Arial"/>
          <w:color w:val="000000"/>
        </w:rPr>
        <w:t>A défaut d'un règlement amiable à l'e</w:t>
      </w:r>
      <w:r w:rsidR="002A3CBC" w:rsidRPr="00DA2F93">
        <w:rPr>
          <w:rFonts w:cs="Arial"/>
          <w:color w:val="000000"/>
        </w:rPr>
        <w:t>xpiration du délai susvisé, la P</w:t>
      </w:r>
      <w:r w:rsidRPr="00DA2F93">
        <w:rPr>
          <w:rFonts w:cs="Arial"/>
          <w:color w:val="000000"/>
        </w:rPr>
        <w:t>artie la plus diligente pourra saisir la juridiction compétente</w:t>
      </w:r>
      <w:r w:rsidR="00A5372E" w:rsidRPr="00DA2F93">
        <w:rPr>
          <w:rFonts w:cs="Arial"/>
          <w:color w:val="000000"/>
        </w:rPr>
        <w:t xml:space="preserve"> du ressort de la Cour d’Appel de Paris </w:t>
      </w:r>
      <w:r w:rsidRPr="00DA2F93">
        <w:rPr>
          <w:rFonts w:cs="Arial"/>
          <w:color w:val="000000"/>
        </w:rPr>
        <w:t xml:space="preserve"> pour statuer sur ce différend.</w:t>
      </w:r>
    </w:p>
    <w:p w14:paraId="583F6DF1" w14:textId="77777777" w:rsidR="00610546" w:rsidRPr="00DA2F93" w:rsidRDefault="00610546" w:rsidP="000548E3">
      <w:pPr>
        <w:jc w:val="both"/>
        <w:rPr>
          <w:rFonts w:cs="Arial"/>
          <w:color w:val="000000" w:themeColor="text1"/>
        </w:rPr>
      </w:pPr>
    </w:p>
    <w:p w14:paraId="14699A0F" w14:textId="77777777" w:rsidR="0069268E" w:rsidRPr="00DA2F93" w:rsidRDefault="0069268E" w:rsidP="0069268E">
      <w:pPr>
        <w:pStyle w:val="EDFTitre1"/>
        <w:jc w:val="both"/>
      </w:pPr>
      <w:bookmarkStart w:id="443" w:name="_Toc388896116"/>
      <w:bookmarkStart w:id="444" w:name="_Toc108113994"/>
      <w:bookmarkStart w:id="445" w:name="_Toc110436510"/>
      <w:r w:rsidRPr="00DA2F93">
        <w:t>Confidentialité</w:t>
      </w:r>
      <w:bookmarkEnd w:id="443"/>
      <w:bookmarkEnd w:id="444"/>
      <w:bookmarkEnd w:id="445"/>
    </w:p>
    <w:p w14:paraId="3247ED51" w14:textId="4CA16DB0" w:rsidR="004D692E" w:rsidRPr="00DA2F93" w:rsidRDefault="00DF2B0B" w:rsidP="00C862F4">
      <w:pPr>
        <w:spacing w:after="100" w:afterAutospacing="1"/>
        <w:jc w:val="both"/>
      </w:pPr>
      <w:r w:rsidRPr="00DA2F93">
        <w:t>Chaque Partie s'interdit de communiquer</w:t>
      </w:r>
      <w:r w:rsidR="008537FE" w:rsidRPr="00DA2F93">
        <w:t xml:space="preserve"> </w:t>
      </w:r>
      <w:r w:rsidRPr="00DA2F93">
        <w:t>à tout tiers</w:t>
      </w:r>
      <w:r w:rsidR="00A5372E" w:rsidRPr="00DA2F93">
        <w:t xml:space="preserve"> à l’exception </w:t>
      </w:r>
      <w:r w:rsidR="00F91892">
        <w:t>du service de la Nouvelle-Calédonie compétent en matière d’énergie</w:t>
      </w:r>
      <w:r w:rsidRPr="00DA2F93">
        <w:t xml:space="preserve">, sans l'accord préalable et écrit de l'autre Partie, les informations échangées avec l'autre Partie. Cette obligation engage les Parties pendant toute la durée du </w:t>
      </w:r>
      <w:r w:rsidR="008537FE" w:rsidRPr="00DA2F93">
        <w:t>présent contrat</w:t>
      </w:r>
      <w:r w:rsidRPr="00DA2F93">
        <w:t xml:space="preserve"> et pendant une durée de trois ans à compter de la résiliation ou de l'expiration du </w:t>
      </w:r>
      <w:r w:rsidR="008537FE" w:rsidRPr="00DA2F93">
        <w:t>contrat</w:t>
      </w:r>
      <w:r w:rsidRPr="00DA2F93">
        <w:t>. Chaque Partie s'engage à imposer la même obligation de confidentialité à ses collaborateurs, à ses fournisseurs et à ses sous-traitants.</w:t>
      </w:r>
    </w:p>
    <w:p w14:paraId="0C681B4A" w14:textId="77777777" w:rsidR="00A77136" w:rsidRPr="00DA2F93" w:rsidRDefault="00A77136" w:rsidP="00A77136">
      <w:pPr>
        <w:jc w:val="both"/>
        <w:rPr>
          <w:rFonts w:cs="Arial"/>
        </w:rPr>
      </w:pPr>
      <w:r w:rsidRPr="00DA2F93">
        <w:rPr>
          <w:rFonts w:cs="Arial"/>
        </w:rPr>
        <w:t xml:space="preserve">Il est entendu que le contrat pourra être communiqué aux organismes préteurs du </w:t>
      </w:r>
      <w:r w:rsidR="00554628" w:rsidRPr="00F91892">
        <w:rPr>
          <w:rFonts w:cs="Arial"/>
        </w:rPr>
        <w:t>Stockeur</w:t>
      </w:r>
      <w:r w:rsidRPr="00DA2F93">
        <w:rPr>
          <w:rFonts w:cs="Arial"/>
        </w:rPr>
        <w:t xml:space="preserve"> et à leurs conseils sous réserve que le </w:t>
      </w:r>
      <w:r w:rsidR="00554628" w:rsidRPr="00DA2F93">
        <w:rPr>
          <w:rFonts w:cs="Arial"/>
        </w:rPr>
        <w:t>Stockeur</w:t>
      </w:r>
      <w:r w:rsidRPr="00DA2F93">
        <w:rPr>
          <w:rFonts w:cs="Arial"/>
        </w:rPr>
        <w:t xml:space="preserve"> s’engage à imposer la même obligation de confidentialité à ces organismes et à leurs conseils.</w:t>
      </w:r>
    </w:p>
    <w:p w14:paraId="3927F2F1" w14:textId="77777777" w:rsidR="00435A88" w:rsidRPr="00DA2F93" w:rsidRDefault="00435A88" w:rsidP="00095D3C">
      <w:pPr>
        <w:jc w:val="both"/>
        <w:rPr>
          <w:rFonts w:cs="Arial"/>
        </w:rPr>
      </w:pPr>
    </w:p>
    <w:p w14:paraId="4C9FC883" w14:textId="77777777" w:rsidR="00D71669" w:rsidRPr="00DA2F93" w:rsidRDefault="00DF2B0B" w:rsidP="00095D3C">
      <w:pPr>
        <w:pStyle w:val="EDFTitre1"/>
        <w:jc w:val="both"/>
      </w:pPr>
      <w:bookmarkStart w:id="446" w:name="_Toc388896117"/>
      <w:bookmarkStart w:id="447" w:name="_Toc108113995"/>
      <w:bookmarkStart w:id="448" w:name="_Toc110436511"/>
      <w:r w:rsidRPr="00DA2F93">
        <w:t>timbre et enregistrement</w:t>
      </w:r>
      <w:bookmarkEnd w:id="446"/>
      <w:bookmarkEnd w:id="447"/>
      <w:bookmarkEnd w:id="448"/>
    </w:p>
    <w:p w14:paraId="28DC35F0" w14:textId="77777777" w:rsidR="00EF4917" w:rsidRPr="00DA2F93" w:rsidRDefault="00EF4917" w:rsidP="00095D3C">
      <w:pPr>
        <w:widowControl w:val="0"/>
        <w:jc w:val="both"/>
        <w:rPr>
          <w:rFonts w:cs="Arial"/>
        </w:rPr>
      </w:pPr>
      <w:r w:rsidRPr="00DA2F93">
        <w:rPr>
          <w:rFonts w:cs="Arial"/>
        </w:rPr>
        <w:t>Le présent contrat est dispensé de timbre et d’enregistrement.</w:t>
      </w:r>
    </w:p>
    <w:p w14:paraId="230E04B1" w14:textId="6010655A" w:rsidR="00D71669" w:rsidRPr="00DA2F93" w:rsidRDefault="00D71669" w:rsidP="00095D3C">
      <w:pPr>
        <w:widowControl w:val="0"/>
        <w:jc w:val="both"/>
        <w:rPr>
          <w:rFonts w:cs="Arial"/>
        </w:rPr>
      </w:pPr>
      <w:r w:rsidRPr="00DA2F93">
        <w:rPr>
          <w:rFonts w:cs="Arial"/>
        </w:rPr>
        <w:t xml:space="preserve">Les </w:t>
      </w:r>
      <w:r w:rsidR="00B119E3">
        <w:rPr>
          <w:rFonts w:cs="Arial"/>
        </w:rPr>
        <w:t xml:space="preserve">éventuels </w:t>
      </w:r>
      <w:r w:rsidRPr="00DA2F93">
        <w:rPr>
          <w:rFonts w:cs="Arial"/>
        </w:rPr>
        <w:t>droits d'enregistrement seront à la charge de celle des Parties qui aura motivé leur perception.</w:t>
      </w:r>
    </w:p>
    <w:p w14:paraId="28733ED5" w14:textId="77777777" w:rsidR="00610546" w:rsidRPr="00DA2F93" w:rsidRDefault="00610546" w:rsidP="00095D3C">
      <w:pPr>
        <w:jc w:val="both"/>
        <w:rPr>
          <w:rFonts w:cs="Arial"/>
        </w:rPr>
      </w:pPr>
    </w:p>
    <w:p w14:paraId="683E49B8" w14:textId="77777777" w:rsidR="00D71669" w:rsidRPr="00DA2F93" w:rsidRDefault="00D71669" w:rsidP="00095D3C">
      <w:pPr>
        <w:pStyle w:val="EDFTitre1"/>
        <w:jc w:val="both"/>
      </w:pPr>
      <w:bookmarkStart w:id="449" w:name="_Toc388896118"/>
      <w:bookmarkStart w:id="450" w:name="_Toc108113996"/>
      <w:bookmarkStart w:id="451" w:name="_Toc110436512"/>
      <w:r w:rsidRPr="00DA2F93">
        <w:t>Notifications</w:t>
      </w:r>
      <w:bookmarkEnd w:id="449"/>
      <w:bookmarkEnd w:id="450"/>
      <w:bookmarkEnd w:id="451"/>
    </w:p>
    <w:p w14:paraId="389EF79A" w14:textId="77777777" w:rsidR="00095D3C" w:rsidRPr="00DA2F93" w:rsidRDefault="00095D3C" w:rsidP="00095D3C">
      <w:pPr>
        <w:pStyle w:val="EDFTitre2"/>
        <w:jc w:val="both"/>
      </w:pPr>
      <w:bookmarkStart w:id="452" w:name="_Toc170645997"/>
      <w:bookmarkStart w:id="453" w:name="_Toc11832755"/>
      <w:bookmarkStart w:id="454" w:name="_Toc27800177"/>
      <w:bookmarkStart w:id="455" w:name="_Toc149128177"/>
      <w:bookmarkStart w:id="456" w:name="_Toc388896119"/>
      <w:bookmarkStart w:id="457" w:name="_Ref422840611"/>
      <w:bookmarkStart w:id="458" w:name="_Toc108113997"/>
      <w:bookmarkStart w:id="459" w:name="_Toc110436513"/>
      <w:r w:rsidRPr="00DA2F93">
        <w:t>Intégralité du Contrat et Modification du Contrat</w:t>
      </w:r>
      <w:bookmarkEnd w:id="452"/>
      <w:bookmarkEnd w:id="453"/>
      <w:bookmarkEnd w:id="454"/>
      <w:bookmarkEnd w:id="455"/>
      <w:bookmarkEnd w:id="456"/>
      <w:bookmarkEnd w:id="457"/>
      <w:bookmarkEnd w:id="458"/>
      <w:bookmarkEnd w:id="459"/>
    </w:p>
    <w:p w14:paraId="458DAE08" w14:textId="33B2A524" w:rsidR="00095D3C" w:rsidRPr="00DA2F93" w:rsidRDefault="00095D3C" w:rsidP="00095D3C">
      <w:pPr>
        <w:widowControl w:val="0"/>
        <w:jc w:val="both"/>
        <w:rPr>
          <w:rFonts w:cs="Arial"/>
          <w:color w:val="000000" w:themeColor="text1"/>
        </w:rPr>
      </w:pPr>
      <w:bookmarkStart w:id="460" w:name="_GoBack"/>
      <w:bookmarkEnd w:id="460"/>
      <w:r w:rsidRPr="00A775B6">
        <w:rPr>
          <w:rFonts w:cs="Arial"/>
          <w:color w:val="000000" w:themeColor="text1"/>
        </w:rPr>
        <w:t xml:space="preserve">Le présent </w:t>
      </w:r>
      <w:r w:rsidR="00C77FE4" w:rsidRPr="00A775B6">
        <w:rPr>
          <w:rFonts w:cs="Arial"/>
          <w:color w:val="000000" w:themeColor="text1"/>
        </w:rPr>
        <w:t>Contrat</w:t>
      </w:r>
      <w:r w:rsidRPr="00A775B6">
        <w:rPr>
          <w:rFonts w:cs="Arial"/>
          <w:color w:val="000000" w:themeColor="text1"/>
        </w:rPr>
        <w:t xml:space="preserve">, représente l’intégralité de l’accord des Parties relativement à son objet. Il annule et se substitue à </w:t>
      </w:r>
      <w:r w:rsidR="00C77FE4" w:rsidRPr="00A775B6">
        <w:rPr>
          <w:rFonts w:cs="Arial"/>
          <w:color w:val="000000" w:themeColor="text1"/>
        </w:rPr>
        <w:t xml:space="preserve">tout </w:t>
      </w:r>
      <w:r w:rsidRPr="00A775B6">
        <w:rPr>
          <w:rFonts w:cs="Arial"/>
          <w:color w:val="000000" w:themeColor="text1"/>
        </w:rPr>
        <w:t>document préalablement échangé entre les Parties relativement à ce même objet.</w:t>
      </w:r>
    </w:p>
    <w:p w14:paraId="675A2FA3" w14:textId="4C830484" w:rsidR="00095D3C" w:rsidRPr="00DA2F93" w:rsidRDefault="00095D3C" w:rsidP="00095D3C">
      <w:pPr>
        <w:widowControl w:val="0"/>
        <w:jc w:val="both"/>
        <w:rPr>
          <w:rFonts w:cs="Arial"/>
          <w:color w:val="000000" w:themeColor="text1"/>
        </w:rPr>
      </w:pPr>
      <w:r w:rsidRPr="00DA2F93">
        <w:rPr>
          <w:rFonts w:cs="Arial"/>
          <w:color w:val="000000" w:themeColor="text1"/>
        </w:rPr>
        <w:t xml:space="preserve">Toute modification au présent </w:t>
      </w:r>
      <w:r w:rsidR="00C77FE4">
        <w:rPr>
          <w:rFonts w:cs="Arial"/>
          <w:color w:val="000000" w:themeColor="text1"/>
        </w:rPr>
        <w:t>C</w:t>
      </w:r>
      <w:r w:rsidR="00C77FE4" w:rsidRPr="00DA2F93">
        <w:rPr>
          <w:rFonts w:cs="Arial"/>
          <w:color w:val="000000" w:themeColor="text1"/>
        </w:rPr>
        <w:t xml:space="preserve">ontrat </w:t>
      </w:r>
      <w:r w:rsidRPr="00DA2F93">
        <w:rPr>
          <w:rFonts w:cs="Arial"/>
          <w:color w:val="000000" w:themeColor="text1"/>
        </w:rPr>
        <w:t xml:space="preserve">devra faire l’objet d’un avenant écrit et signé par les représentants dûment habilités des deux Parties. </w:t>
      </w:r>
    </w:p>
    <w:p w14:paraId="09E26C0A" w14:textId="77777777" w:rsidR="00095D3C" w:rsidRPr="00DA2F93" w:rsidRDefault="00095D3C" w:rsidP="00095D3C">
      <w:pPr>
        <w:widowControl w:val="0"/>
        <w:jc w:val="both"/>
        <w:rPr>
          <w:rFonts w:cs="Arial"/>
        </w:rPr>
      </w:pPr>
    </w:p>
    <w:p w14:paraId="4E577DB8" w14:textId="77777777" w:rsidR="00095D3C" w:rsidRPr="00DA2F93" w:rsidRDefault="006373B1" w:rsidP="00095D3C">
      <w:pPr>
        <w:pStyle w:val="EDFTitre2"/>
        <w:jc w:val="both"/>
      </w:pPr>
      <w:bookmarkStart w:id="461" w:name="_Toc170645998"/>
      <w:bookmarkStart w:id="462" w:name="_Toc388896120"/>
      <w:bookmarkStart w:id="463" w:name="_Toc108113998"/>
      <w:bookmarkStart w:id="464" w:name="_Toc110436514"/>
      <w:r w:rsidRPr="00DA2F93">
        <w:t xml:space="preserve">Interprétation des clauses et des </w:t>
      </w:r>
      <w:r w:rsidR="00095D3C" w:rsidRPr="00DA2F93">
        <w:t>Titres</w:t>
      </w:r>
      <w:bookmarkEnd w:id="461"/>
      <w:bookmarkEnd w:id="462"/>
      <w:bookmarkEnd w:id="463"/>
      <w:bookmarkEnd w:id="464"/>
    </w:p>
    <w:p w14:paraId="0D7EDDA1" w14:textId="77777777" w:rsidR="00095D3C" w:rsidRPr="00DA2F93" w:rsidRDefault="00095D3C" w:rsidP="00095D3C">
      <w:pPr>
        <w:widowControl w:val="0"/>
        <w:jc w:val="both"/>
        <w:rPr>
          <w:rFonts w:cs="Arial"/>
          <w:color w:val="000000" w:themeColor="text1"/>
        </w:rPr>
      </w:pPr>
      <w:r w:rsidRPr="00DA2F93">
        <w:rPr>
          <w:rFonts w:cs="Arial"/>
          <w:color w:val="000000" w:themeColor="text1"/>
        </w:rPr>
        <w:t>En cas de difficulté d'interprétation entre l'une quelconque des présentes clauses et son titre, le contenu de la clause prévaudra sur son intitulé.</w:t>
      </w:r>
    </w:p>
    <w:p w14:paraId="57091E89" w14:textId="77777777" w:rsidR="00095D3C" w:rsidRPr="00DA2F93" w:rsidRDefault="00095D3C" w:rsidP="00095D3C">
      <w:pPr>
        <w:widowControl w:val="0"/>
        <w:jc w:val="both"/>
        <w:rPr>
          <w:rFonts w:cs="Arial"/>
        </w:rPr>
      </w:pPr>
    </w:p>
    <w:p w14:paraId="13E55EB1" w14:textId="77777777" w:rsidR="00095D3C" w:rsidRPr="00DA2F93" w:rsidRDefault="00095D3C" w:rsidP="00095D3C">
      <w:pPr>
        <w:pStyle w:val="EDFTitre2"/>
        <w:jc w:val="both"/>
      </w:pPr>
      <w:bookmarkStart w:id="465" w:name="_Toc170645999"/>
      <w:bookmarkStart w:id="466" w:name="_Toc388896121"/>
      <w:bookmarkStart w:id="467" w:name="_Toc108113999"/>
      <w:bookmarkStart w:id="468" w:name="_Toc110436515"/>
      <w:r w:rsidRPr="00DA2F93">
        <w:t>Nullité</w:t>
      </w:r>
      <w:bookmarkEnd w:id="465"/>
      <w:bookmarkEnd w:id="466"/>
      <w:bookmarkEnd w:id="467"/>
      <w:bookmarkEnd w:id="468"/>
    </w:p>
    <w:p w14:paraId="616E5582" w14:textId="39223E30" w:rsidR="00095D3C" w:rsidRPr="00DA2F93" w:rsidRDefault="00095D3C" w:rsidP="00095D3C">
      <w:pPr>
        <w:tabs>
          <w:tab w:val="right" w:pos="8209"/>
        </w:tabs>
        <w:jc w:val="both"/>
        <w:rPr>
          <w:color w:val="000000" w:themeColor="text1"/>
        </w:rPr>
      </w:pPr>
      <w:r w:rsidRPr="00DA2F93">
        <w:rPr>
          <w:rFonts w:cs="Arial"/>
          <w:color w:val="000000" w:themeColor="text1"/>
        </w:rPr>
        <w:t xml:space="preserve">Si l'une quelconque des stipulations du présent </w:t>
      </w:r>
      <w:r w:rsidR="00C77FE4">
        <w:rPr>
          <w:rFonts w:cs="Arial"/>
          <w:color w:val="000000" w:themeColor="text1"/>
        </w:rPr>
        <w:t>C</w:t>
      </w:r>
      <w:r w:rsidR="00C77FE4" w:rsidRPr="00DA2F93">
        <w:rPr>
          <w:rFonts w:cs="Arial"/>
          <w:color w:val="000000" w:themeColor="text1"/>
        </w:rPr>
        <w:t xml:space="preserve">ontrat </w:t>
      </w:r>
      <w:r w:rsidRPr="00DA2F93">
        <w:rPr>
          <w:rFonts w:cs="Arial"/>
          <w:color w:val="000000" w:themeColor="text1"/>
        </w:rPr>
        <w:t xml:space="preserve">s'avérait nulle au regard d'une règle de droit en vigueur ou d'une décision judiciaire devenue définitive, elle serait alors réputée non écrite, sans pour autant entraîner la nullité du </w:t>
      </w:r>
      <w:r w:rsidR="00C77FE4">
        <w:rPr>
          <w:rFonts w:cs="Arial"/>
          <w:color w:val="000000" w:themeColor="text1"/>
        </w:rPr>
        <w:t>C</w:t>
      </w:r>
      <w:r w:rsidR="00C77FE4" w:rsidRPr="00DA2F93">
        <w:rPr>
          <w:rFonts w:cs="Arial"/>
          <w:color w:val="000000" w:themeColor="text1"/>
        </w:rPr>
        <w:t xml:space="preserve">ontrat </w:t>
      </w:r>
      <w:r w:rsidRPr="00DA2F93">
        <w:rPr>
          <w:rFonts w:cs="Arial"/>
          <w:color w:val="000000" w:themeColor="text1"/>
        </w:rPr>
        <w:t>ni altérer la validité de ses autres dispositions</w:t>
      </w:r>
      <w:r w:rsidR="00C77FE4">
        <w:rPr>
          <w:rFonts w:cs="Arial"/>
          <w:color w:val="000000" w:themeColor="text1"/>
        </w:rPr>
        <w:t>,</w:t>
      </w:r>
      <w:r w:rsidR="00C77FE4" w:rsidRPr="00A47A31">
        <w:rPr>
          <w:rFonts w:cs="Arial"/>
          <w:color w:val="000000" w:themeColor="text1"/>
        </w:rPr>
        <w:t xml:space="preserve"> </w:t>
      </w:r>
      <w:r w:rsidR="00C77FE4">
        <w:rPr>
          <w:rFonts w:cs="Arial"/>
          <w:color w:val="000000" w:themeColor="text1"/>
        </w:rPr>
        <w:t>à moins que ces autres dispositions n’en fassent partie intégrante ou soient clairement indissociables des dispositions invalidées ou jugées inapplicables</w:t>
      </w:r>
      <w:r w:rsidR="00C77FE4" w:rsidRPr="00DA2F93">
        <w:rPr>
          <w:rFonts w:cs="Arial"/>
          <w:color w:val="000000" w:themeColor="text1"/>
        </w:rPr>
        <w:t>.</w:t>
      </w:r>
      <w:r w:rsidRPr="00DA2F93">
        <w:rPr>
          <w:color w:val="000000" w:themeColor="text1"/>
        </w:rPr>
        <w:t xml:space="preserve"> Dans </w:t>
      </w:r>
      <w:r w:rsidR="00C77FE4">
        <w:rPr>
          <w:color w:val="000000" w:themeColor="text1"/>
        </w:rPr>
        <w:t>l’hypothèse d’une telle nullité</w:t>
      </w:r>
      <w:r w:rsidRPr="00DA2F93">
        <w:rPr>
          <w:color w:val="000000" w:themeColor="text1"/>
        </w:rPr>
        <w:t xml:space="preserve">, les Parties devront négocier de bonne foi une clause de remplacement s’approchant le plus possible d’un point de vue juridique et économique de la stipulation frappée de nullité.  </w:t>
      </w:r>
    </w:p>
    <w:p w14:paraId="60D358AE" w14:textId="77777777" w:rsidR="00095D3C" w:rsidRPr="00DA2F93" w:rsidRDefault="00095D3C" w:rsidP="00095D3C">
      <w:pPr>
        <w:widowControl w:val="0"/>
        <w:jc w:val="both"/>
        <w:rPr>
          <w:rFonts w:cs="Arial"/>
        </w:rPr>
      </w:pPr>
    </w:p>
    <w:p w14:paraId="26FE001A" w14:textId="77777777" w:rsidR="00095D3C" w:rsidRPr="00DA2F93" w:rsidRDefault="00095D3C" w:rsidP="00095D3C">
      <w:pPr>
        <w:pStyle w:val="EDFTitre2"/>
        <w:jc w:val="both"/>
      </w:pPr>
      <w:bookmarkStart w:id="469" w:name="_Toc170646000"/>
      <w:bookmarkStart w:id="470" w:name="_Toc388896122"/>
      <w:bookmarkStart w:id="471" w:name="_Toc108114000"/>
      <w:bookmarkStart w:id="472" w:name="_Toc110436516"/>
      <w:r w:rsidRPr="00DA2F93">
        <w:t>Renonciation</w:t>
      </w:r>
      <w:bookmarkEnd w:id="469"/>
      <w:bookmarkEnd w:id="470"/>
      <w:bookmarkEnd w:id="471"/>
      <w:bookmarkEnd w:id="472"/>
    </w:p>
    <w:p w14:paraId="7956A6B4" w14:textId="71B8783F" w:rsidR="001274A3" w:rsidRPr="00DA2F93" w:rsidRDefault="00C77FE4" w:rsidP="0076571E">
      <w:pPr>
        <w:widowControl w:val="0"/>
        <w:jc w:val="both"/>
        <w:rPr>
          <w:rFonts w:cs="Arial"/>
          <w:color w:val="000000" w:themeColor="text1"/>
        </w:rPr>
      </w:pPr>
      <w:r>
        <w:rPr>
          <w:rFonts w:cs="Arial"/>
          <w:color w:val="000000" w:themeColor="text1"/>
        </w:rPr>
        <w:t>Sauf stipulation contraire, l</w:t>
      </w:r>
      <w:r w:rsidRPr="00DA2F93">
        <w:rPr>
          <w:rFonts w:cs="Arial"/>
          <w:color w:val="000000" w:themeColor="text1"/>
        </w:rPr>
        <w:t xml:space="preserve">e </w:t>
      </w:r>
      <w:r w:rsidR="00095D3C" w:rsidRPr="00DA2F93">
        <w:rPr>
          <w:rFonts w:cs="Arial"/>
          <w:color w:val="000000" w:themeColor="text1"/>
        </w:rPr>
        <w:t xml:space="preserve">fait que l'une ou l'autre des Parties ne revendique pas l'application d'une clause quelconque du présent </w:t>
      </w:r>
      <w:r>
        <w:rPr>
          <w:rFonts w:cs="Arial"/>
          <w:color w:val="000000" w:themeColor="text1"/>
        </w:rPr>
        <w:t>C</w:t>
      </w:r>
      <w:r w:rsidRPr="00DA2F93">
        <w:rPr>
          <w:rFonts w:cs="Arial"/>
          <w:color w:val="000000" w:themeColor="text1"/>
        </w:rPr>
        <w:t>ontrat</w:t>
      </w:r>
      <w:r w:rsidR="00095D3C" w:rsidRPr="00DA2F93">
        <w:rPr>
          <w:rFonts w:cs="Arial"/>
          <w:color w:val="000000" w:themeColor="text1"/>
        </w:rPr>
        <w:t xml:space="preserve">, que ce soit de manière permanente ou temporaire, ne pourra </w:t>
      </w:r>
      <w:r w:rsidR="00095D3C" w:rsidRPr="00DA2F93">
        <w:rPr>
          <w:rFonts w:cs="Arial"/>
          <w:color w:val="000000" w:themeColor="text1"/>
        </w:rPr>
        <w:lastRenderedPageBreak/>
        <w:t>être interprété comme une renonciation par cette Partie aux droits qui découlent pour elle de ladite clause.</w:t>
      </w:r>
    </w:p>
    <w:p w14:paraId="0068F635" w14:textId="77777777" w:rsidR="00610546" w:rsidRPr="00DA2F93" w:rsidRDefault="00610546" w:rsidP="0076571E">
      <w:pPr>
        <w:widowControl w:val="0"/>
        <w:jc w:val="both"/>
        <w:rPr>
          <w:rFonts w:eastAsia="Times New Roman" w:cs="Arial"/>
          <w:lang w:eastAsia="fr-FR"/>
        </w:rPr>
      </w:pPr>
    </w:p>
    <w:p w14:paraId="55B9FD42" w14:textId="77777777" w:rsidR="008C568D" w:rsidRPr="00DA2F93" w:rsidRDefault="008C568D" w:rsidP="008C568D">
      <w:pPr>
        <w:pStyle w:val="EDFTitre2"/>
        <w:jc w:val="both"/>
      </w:pPr>
      <w:bookmarkStart w:id="473" w:name="_Toc108114001"/>
      <w:bookmarkStart w:id="474" w:name="_Toc110436517"/>
      <w:r w:rsidRPr="00DA2F93">
        <w:t>Désignation des interlocuteurs</w:t>
      </w:r>
      <w:bookmarkEnd w:id="473"/>
      <w:bookmarkEnd w:id="474"/>
    </w:p>
    <w:p w14:paraId="5B35BB0C" w14:textId="77777777" w:rsidR="00D71669" w:rsidRPr="00DA2F93" w:rsidRDefault="00D71669" w:rsidP="00E04EEE">
      <w:pPr>
        <w:pStyle w:val="Listepuces"/>
      </w:pPr>
      <w:r w:rsidRPr="00DA2F93">
        <w:t xml:space="preserve">Toutes notifications ou significations faites au titre du présent contrat seront expédiées aux adresses suivantes : </w:t>
      </w:r>
    </w:p>
    <w:p w14:paraId="37559D11" w14:textId="77777777" w:rsidR="00D71669" w:rsidRPr="00DA2F93" w:rsidRDefault="00D71669" w:rsidP="00E04EEE">
      <w:pPr>
        <w:pStyle w:val="Listepuces"/>
      </w:pPr>
    </w:p>
    <w:tbl>
      <w:tblPr>
        <w:tblStyle w:val="Grilledutableau"/>
        <w:tblW w:w="0" w:type="auto"/>
        <w:tblLook w:val="04A0" w:firstRow="1" w:lastRow="0" w:firstColumn="1" w:lastColumn="0" w:noHBand="0" w:noVBand="1"/>
      </w:tblPr>
      <w:tblGrid>
        <w:gridCol w:w="10118"/>
      </w:tblGrid>
      <w:tr w:rsidR="00D71669" w:rsidRPr="005C2A12" w14:paraId="07A85ACA" w14:textId="77777777" w:rsidTr="00D71669">
        <w:tc>
          <w:tcPr>
            <w:tcW w:w="10118" w:type="dxa"/>
          </w:tcPr>
          <w:p w14:paraId="6A77699E" w14:textId="0BC87399" w:rsidR="00D71669" w:rsidRPr="00DA2F93" w:rsidRDefault="00D71669" w:rsidP="00E04EEE">
            <w:pPr>
              <w:pStyle w:val="Listepuces"/>
            </w:pPr>
            <w:r w:rsidRPr="00DA2F93">
              <w:t>Pour l</w:t>
            </w:r>
            <w:r w:rsidR="00673CB8" w:rsidRPr="00DA2F93">
              <w:t xml:space="preserve">e </w:t>
            </w:r>
            <w:r w:rsidR="00B361C0">
              <w:t>GRT</w:t>
            </w:r>
          </w:p>
          <w:p w14:paraId="021BC771" w14:textId="77777777" w:rsidR="00D71669" w:rsidRPr="00DA2F93" w:rsidRDefault="00D71669" w:rsidP="00E04EEE">
            <w:pPr>
              <w:pStyle w:val="Listepuces"/>
            </w:pPr>
            <w:r w:rsidRPr="00DA2F93">
              <w:t>Monsieur le Directeur</w:t>
            </w:r>
          </w:p>
          <w:p w14:paraId="7EBEE2E2" w14:textId="7409E5A1" w:rsidR="006E6AAC" w:rsidRPr="005E0625" w:rsidRDefault="00B361C0" w:rsidP="00E04EEE">
            <w:pPr>
              <w:pStyle w:val="Listepuces"/>
              <w:rPr>
                <w:lang w:val="en-GB"/>
              </w:rPr>
            </w:pPr>
            <w:r>
              <w:rPr>
                <w:lang w:val="en-GB"/>
              </w:rPr>
              <w:t>ENERCAL</w:t>
            </w:r>
          </w:p>
          <w:p w14:paraId="7C12F814" w14:textId="77777777" w:rsidR="004002DB" w:rsidRPr="00DA2F93" w:rsidRDefault="003F3A8D" w:rsidP="00E04EEE">
            <w:pPr>
              <w:pStyle w:val="Listepuces"/>
              <w:rPr>
                <w:rStyle w:val="profilspanleft"/>
                <w:lang w:val="en-US"/>
              </w:rPr>
            </w:pPr>
            <w:r w:rsidRPr="00DA2F93">
              <w:rPr>
                <w:rStyle w:val="profilspanleft"/>
                <w:lang w:val="en-US"/>
              </w:rPr>
              <w:t>XXX</w:t>
            </w:r>
          </w:p>
          <w:p w14:paraId="7EC41178" w14:textId="77777777" w:rsidR="004D72E4" w:rsidRPr="00DA2F93" w:rsidRDefault="003F3A8D" w:rsidP="00E04EEE">
            <w:pPr>
              <w:pStyle w:val="Listepuces"/>
              <w:rPr>
                <w:lang w:val="en-US"/>
              </w:rPr>
            </w:pPr>
            <w:r w:rsidRPr="00DA2F93">
              <w:rPr>
                <w:rStyle w:val="profilspanleft"/>
                <w:lang w:val="en-US"/>
              </w:rPr>
              <w:t>XXX</w:t>
            </w:r>
          </w:p>
          <w:p w14:paraId="42DF32B0" w14:textId="77777777" w:rsidR="00D71669" w:rsidRPr="00DA2F93" w:rsidRDefault="00D71669" w:rsidP="00E04EEE">
            <w:pPr>
              <w:pStyle w:val="Listepuces"/>
              <w:rPr>
                <w:lang w:val="en-US"/>
              </w:rPr>
            </w:pPr>
            <w:proofErr w:type="spellStart"/>
            <w:r w:rsidRPr="00DA2F93">
              <w:rPr>
                <w:lang w:val="en-US"/>
              </w:rPr>
              <w:t>Tél</w:t>
            </w:r>
            <w:proofErr w:type="spellEnd"/>
            <w:r w:rsidRPr="00DA2F93">
              <w:rPr>
                <w:lang w:val="en-US"/>
              </w:rPr>
              <w:t> :</w:t>
            </w:r>
            <w:r w:rsidR="001D0B10" w:rsidRPr="00DA2F93">
              <w:rPr>
                <w:lang w:val="en-US"/>
              </w:rPr>
              <w:t xml:space="preserve"> </w:t>
            </w:r>
            <w:r w:rsidR="004002DB" w:rsidRPr="00DA2F93">
              <w:rPr>
                <w:lang w:val="en-US"/>
              </w:rPr>
              <w:t>XX</w:t>
            </w:r>
          </w:p>
        </w:tc>
      </w:tr>
    </w:tbl>
    <w:p w14:paraId="60AFAA7B" w14:textId="77777777" w:rsidR="00D71669" w:rsidRPr="00DA2F93" w:rsidRDefault="00D71669" w:rsidP="00E04EEE">
      <w:pPr>
        <w:pStyle w:val="Listepuces"/>
        <w:rPr>
          <w:lang w:val="en-US"/>
        </w:rPr>
      </w:pPr>
    </w:p>
    <w:p w14:paraId="4E2C2C3D" w14:textId="77777777" w:rsidR="00D71669" w:rsidRPr="00DA2F93" w:rsidRDefault="00D71669" w:rsidP="00E04EEE">
      <w:pPr>
        <w:pStyle w:val="Listepuces"/>
        <w:rPr>
          <w:lang w:val="en-US"/>
        </w:rPr>
      </w:pPr>
    </w:p>
    <w:tbl>
      <w:tblPr>
        <w:tblStyle w:val="Grilledutableau"/>
        <w:tblW w:w="0" w:type="auto"/>
        <w:tblLook w:val="04A0" w:firstRow="1" w:lastRow="0" w:firstColumn="1" w:lastColumn="0" w:noHBand="0" w:noVBand="1"/>
      </w:tblPr>
      <w:tblGrid>
        <w:gridCol w:w="10118"/>
      </w:tblGrid>
      <w:tr w:rsidR="00D71669" w:rsidRPr="00DA2F93" w14:paraId="055A5BCC" w14:textId="77777777" w:rsidTr="00E635DA">
        <w:trPr>
          <w:trHeight w:val="1448"/>
        </w:trPr>
        <w:tc>
          <w:tcPr>
            <w:tcW w:w="10118" w:type="dxa"/>
          </w:tcPr>
          <w:p w14:paraId="0FAA0E28" w14:textId="77777777" w:rsidR="00D71669" w:rsidRPr="00DA2F93" w:rsidRDefault="00D71669" w:rsidP="00E04EEE">
            <w:pPr>
              <w:pStyle w:val="Listepuces"/>
            </w:pPr>
            <w:r w:rsidRPr="00DA2F93">
              <w:t xml:space="preserve">Pour le </w:t>
            </w:r>
            <w:r w:rsidR="00554628" w:rsidRPr="00DA2F93">
              <w:t>Stockeur</w:t>
            </w:r>
          </w:p>
          <w:p w14:paraId="09EDE0E3" w14:textId="77777777" w:rsidR="00D71669" w:rsidRPr="00DA2F93" w:rsidRDefault="00D71669" w:rsidP="00E04EEE">
            <w:pPr>
              <w:pStyle w:val="Listepuces"/>
            </w:pPr>
            <w:r w:rsidRPr="00DA2F93">
              <w:t xml:space="preserve">Monsieur </w:t>
            </w:r>
            <w:r w:rsidR="0056456B" w:rsidRPr="00DA2F93">
              <w:t xml:space="preserve">le </w:t>
            </w:r>
            <w:r w:rsidR="00856AA6" w:rsidRPr="00DA2F93">
              <w:t>Président</w:t>
            </w:r>
          </w:p>
          <w:p w14:paraId="05D91B77" w14:textId="77777777" w:rsidR="00B274E1" w:rsidRPr="00DA2F93" w:rsidRDefault="003F3A8D" w:rsidP="00E04EEE">
            <w:pPr>
              <w:pStyle w:val="Listepuces"/>
            </w:pPr>
            <w:r w:rsidRPr="00DA2F93">
              <w:t>XXX</w:t>
            </w:r>
            <w:r w:rsidR="0056456B" w:rsidRPr="00DA2F93">
              <w:t xml:space="preserve"> </w:t>
            </w:r>
            <w:proofErr w:type="spellStart"/>
            <w:r w:rsidRPr="00DA2F93">
              <w:t>XXX</w:t>
            </w:r>
            <w:proofErr w:type="spellEnd"/>
          </w:p>
          <w:p w14:paraId="74FF6424" w14:textId="77777777" w:rsidR="00B274E1" w:rsidRPr="00DA2F93" w:rsidRDefault="003F3A8D" w:rsidP="00E04EEE">
            <w:pPr>
              <w:pStyle w:val="Listepuces"/>
            </w:pPr>
            <w:r w:rsidRPr="00DA2F93">
              <w:t>XXX</w:t>
            </w:r>
          </w:p>
          <w:p w14:paraId="04B1B6F6" w14:textId="77777777" w:rsidR="00610546" w:rsidRPr="00DA2F93" w:rsidRDefault="004002DB" w:rsidP="00E04EEE">
            <w:pPr>
              <w:pStyle w:val="Listepuces"/>
            </w:pPr>
            <w:r w:rsidRPr="00DA2F93">
              <w:t xml:space="preserve">XX </w:t>
            </w:r>
            <w:r w:rsidR="003F3A8D" w:rsidRPr="00DA2F93">
              <w:t>XXX</w:t>
            </w:r>
            <w:r w:rsidRPr="00DA2F93">
              <w:t xml:space="preserve"> </w:t>
            </w:r>
            <w:proofErr w:type="spellStart"/>
            <w:r w:rsidR="003F3A8D" w:rsidRPr="00DA2F93">
              <w:t>XXX</w:t>
            </w:r>
            <w:proofErr w:type="spellEnd"/>
          </w:p>
          <w:p w14:paraId="30C4B4D7" w14:textId="77777777" w:rsidR="00D71669" w:rsidRPr="00DA2F93" w:rsidRDefault="00106D8E" w:rsidP="00E04EEE">
            <w:pPr>
              <w:pStyle w:val="Listepuces"/>
              <w:rPr>
                <w:lang w:val="en-US"/>
              </w:rPr>
            </w:pPr>
            <w:proofErr w:type="spellStart"/>
            <w:r w:rsidRPr="00DA2F93">
              <w:rPr>
                <w:lang w:val="en-US"/>
              </w:rPr>
              <w:t>Té</w:t>
            </w:r>
            <w:r w:rsidR="00D71669" w:rsidRPr="00DA2F93">
              <w:rPr>
                <w:lang w:val="en-US"/>
              </w:rPr>
              <w:t>l</w:t>
            </w:r>
            <w:proofErr w:type="spellEnd"/>
            <w:r w:rsidR="00D71669" w:rsidRPr="00DA2F93">
              <w:rPr>
                <w:lang w:val="en-US"/>
              </w:rPr>
              <w:t> :</w:t>
            </w:r>
            <w:r w:rsidR="00A45D3E" w:rsidRPr="00DA2F93">
              <w:rPr>
                <w:lang w:val="en-US"/>
              </w:rPr>
              <w:t xml:space="preserve"> </w:t>
            </w:r>
            <w:r w:rsidR="003F3A8D" w:rsidRPr="00DA2F93">
              <w:rPr>
                <w:lang w:val="en-US"/>
              </w:rPr>
              <w:t>XXX</w:t>
            </w:r>
          </w:p>
        </w:tc>
      </w:tr>
    </w:tbl>
    <w:p w14:paraId="3CC9EABB" w14:textId="77777777" w:rsidR="009A0687" w:rsidRDefault="009A0687" w:rsidP="000548E3">
      <w:pPr>
        <w:jc w:val="both"/>
        <w:rPr>
          <w:rFonts w:cs="Arial"/>
          <w:lang w:val="en-US"/>
        </w:rPr>
      </w:pPr>
    </w:p>
    <w:p w14:paraId="735C144B" w14:textId="77777777" w:rsidR="009A0687" w:rsidRDefault="009A0687" w:rsidP="000548E3">
      <w:pPr>
        <w:jc w:val="both"/>
        <w:rPr>
          <w:rFonts w:cs="Arial"/>
          <w:lang w:val="en-US"/>
        </w:rPr>
      </w:pPr>
    </w:p>
    <w:p w14:paraId="5369ADBE" w14:textId="77777777" w:rsidR="009A0687" w:rsidRDefault="009A0687" w:rsidP="000548E3">
      <w:pPr>
        <w:jc w:val="both"/>
        <w:rPr>
          <w:rFonts w:cs="Arial"/>
          <w:lang w:val="en-US"/>
        </w:rPr>
      </w:pPr>
    </w:p>
    <w:p w14:paraId="558758BA" w14:textId="77777777" w:rsidR="009A0687" w:rsidRPr="00DA2F93" w:rsidRDefault="009A0687" w:rsidP="000548E3">
      <w:pPr>
        <w:jc w:val="both"/>
        <w:rPr>
          <w:rFonts w:cs="Arial"/>
          <w:lang w:val="en-US"/>
        </w:rPr>
      </w:pPr>
    </w:p>
    <w:p w14:paraId="2C834290" w14:textId="77777777" w:rsidR="00D71669" w:rsidRPr="00DA2F93" w:rsidRDefault="00D71669" w:rsidP="000243CB">
      <w:pPr>
        <w:spacing w:before="0" w:after="0"/>
      </w:pPr>
      <w:bookmarkStart w:id="475" w:name="_Toc388896123"/>
      <w:bookmarkStart w:id="476" w:name="_Ref426018082"/>
      <w:bookmarkStart w:id="477" w:name="_Toc108114002"/>
      <w:proofErr w:type="gramStart"/>
      <w:r w:rsidRPr="00DA2F93">
        <w:t>signatures</w:t>
      </w:r>
      <w:bookmarkEnd w:id="475"/>
      <w:bookmarkEnd w:id="476"/>
      <w:bookmarkEnd w:id="477"/>
      <w:proofErr w:type="gramEnd"/>
    </w:p>
    <w:p w14:paraId="429D5B7D" w14:textId="3D317C62" w:rsidR="00D71669" w:rsidRPr="00DA2F93" w:rsidRDefault="00D71669" w:rsidP="000548E3">
      <w:pPr>
        <w:jc w:val="both"/>
        <w:rPr>
          <w:rFonts w:cs="Arial"/>
        </w:rPr>
      </w:pPr>
      <w:r w:rsidRPr="00DA2F93">
        <w:rPr>
          <w:rFonts w:cs="Arial"/>
        </w:rPr>
        <w:t xml:space="preserve">Fait à </w:t>
      </w:r>
      <w:r w:rsidR="00F91892" w:rsidRPr="000243CB">
        <w:rPr>
          <w:rFonts w:cs="Arial"/>
          <w:highlight w:val="lightGray"/>
        </w:rPr>
        <w:t>XXX</w:t>
      </w:r>
      <w:r w:rsidR="00F91892" w:rsidRPr="00DA2F93">
        <w:rPr>
          <w:rFonts w:cs="Arial"/>
        </w:rPr>
        <w:t xml:space="preserve"> </w:t>
      </w:r>
      <w:r w:rsidRPr="00DA2F93">
        <w:rPr>
          <w:rFonts w:cs="Arial"/>
        </w:rPr>
        <w:t>en trois exemplaires originaux,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59"/>
      </w:tblGrid>
      <w:tr w:rsidR="00CA7A93" w:rsidRPr="00C31ACA" w14:paraId="2C0DF3A7" w14:textId="77777777" w:rsidTr="00C20C7D">
        <w:tc>
          <w:tcPr>
            <w:tcW w:w="5059" w:type="dxa"/>
          </w:tcPr>
          <w:p w14:paraId="29CBA7B3" w14:textId="48F3D2DB" w:rsidR="00341312" w:rsidRPr="00DA2F93" w:rsidRDefault="00CA7A93" w:rsidP="00E04EEE">
            <w:pPr>
              <w:pStyle w:val="Listepuces"/>
            </w:pPr>
            <w:r w:rsidRPr="00DA2F93">
              <w:t>Pour l</w:t>
            </w:r>
            <w:r w:rsidR="00673CB8" w:rsidRPr="00DA2F93">
              <w:t xml:space="preserve">e </w:t>
            </w:r>
            <w:r w:rsidR="00B361C0">
              <w:t>GRT</w:t>
            </w:r>
            <w:r w:rsidRPr="00DA2F93">
              <w:t>,</w:t>
            </w:r>
          </w:p>
          <w:p w14:paraId="04ED36FA" w14:textId="77777777" w:rsidR="00341312" w:rsidRPr="00DA2F93" w:rsidRDefault="00341312" w:rsidP="00E04EEE">
            <w:pPr>
              <w:pStyle w:val="Listepuces"/>
            </w:pPr>
          </w:p>
          <w:p w14:paraId="1B62CA19" w14:textId="77777777" w:rsidR="00341312" w:rsidRPr="00DA2F93" w:rsidRDefault="00CA7A93" w:rsidP="00E04EEE">
            <w:pPr>
              <w:pStyle w:val="Listepuces"/>
            </w:pPr>
            <w:r w:rsidRPr="00DA2F93">
              <w:t>_____________</w:t>
            </w:r>
          </w:p>
          <w:p w14:paraId="30D22328" w14:textId="77777777" w:rsidR="00341312" w:rsidRPr="00DA2F93" w:rsidRDefault="003F3A8D" w:rsidP="00341312">
            <w:pPr>
              <w:spacing w:before="0"/>
              <w:jc w:val="both"/>
              <w:rPr>
                <w:lang w:val="de-DE"/>
              </w:rPr>
            </w:pPr>
            <w:r w:rsidRPr="00DA2F93">
              <w:rPr>
                <w:lang w:val="de-DE"/>
              </w:rPr>
              <w:t>XXX</w:t>
            </w:r>
          </w:p>
          <w:p w14:paraId="089B899B" w14:textId="6807F169" w:rsidR="00341312" w:rsidRPr="00DA2F93" w:rsidRDefault="00341312" w:rsidP="00341312">
            <w:pPr>
              <w:spacing w:before="0"/>
              <w:jc w:val="both"/>
              <w:rPr>
                <w:lang w:val="de-DE"/>
              </w:rPr>
            </w:pPr>
            <w:proofErr w:type="spellStart"/>
            <w:r w:rsidRPr="00DA2F93">
              <w:rPr>
                <w:lang w:val="de-DE"/>
              </w:rPr>
              <w:t>Directeur</w:t>
            </w:r>
            <w:proofErr w:type="spellEnd"/>
            <w:r w:rsidRPr="00DA2F93">
              <w:rPr>
                <w:lang w:val="de-DE"/>
              </w:rPr>
              <w:t xml:space="preserve"> </w:t>
            </w:r>
            <w:proofErr w:type="spellStart"/>
            <w:r w:rsidRPr="00DA2F93">
              <w:rPr>
                <w:lang w:val="de-DE"/>
              </w:rPr>
              <w:t>d’</w:t>
            </w:r>
            <w:r w:rsidR="00B361C0">
              <w:rPr>
                <w:lang w:val="de-DE"/>
              </w:rPr>
              <w:t>ENERCAL</w:t>
            </w:r>
            <w:proofErr w:type="spellEnd"/>
          </w:p>
          <w:p w14:paraId="51FAAB24" w14:textId="77777777" w:rsidR="00341312" w:rsidRPr="00DA2F93" w:rsidRDefault="00341312" w:rsidP="00341312">
            <w:pPr>
              <w:spacing w:before="0"/>
              <w:jc w:val="both"/>
              <w:rPr>
                <w:lang w:val="de-DE"/>
              </w:rPr>
            </w:pPr>
            <w:r w:rsidRPr="00DA2F93">
              <w:rPr>
                <w:lang w:val="de-DE"/>
              </w:rPr>
              <w:t>Date :</w:t>
            </w:r>
          </w:p>
          <w:p w14:paraId="188467E3" w14:textId="77777777" w:rsidR="00341312" w:rsidRPr="00DA2F93" w:rsidRDefault="00341312" w:rsidP="00341312">
            <w:pPr>
              <w:spacing w:before="0"/>
              <w:jc w:val="both"/>
              <w:rPr>
                <w:lang w:val="de-DE"/>
              </w:rPr>
            </w:pPr>
            <w:proofErr w:type="spellStart"/>
            <w:r w:rsidRPr="00DA2F93">
              <w:rPr>
                <w:lang w:val="de-DE"/>
              </w:rPr>
              <w:t>Lieu</w:t>
            </w:r>
            <w:proofErr w:type="spellEnd"/>
            <w:r w:rsidRPr="00DA2F93">
              <w:rPr>
                <w:lang w:val="de-DE"/>
              </w:rPr>
              <w:t xml:space="preserve"> : </w:t>
            </w:r>
          </w:p>
          <w:p w14:paraId="2A9220D8" w14:textId="77777777" w:rsidR="00341312" w:rsidRPr="00DA2F93" w:rsidRDefault="00341312" w:rsidP="00E04EEE">
            <w:pPr>
              <w:pStyle w:val="Listepuces"/>
            </w:pPr>
          </w:p>
        </w:tc>
        <w:tc>
          <w:tcPr>
            <w:tcW w:w="5059" w:type="dxa"/>
          </w:tcPr>
          <w:p w14:paraId="4302CCD8" w14:textId="77777777" w:rsidR="00341312" w:rsidRPr="00DA2F93" w:rsidRDefault="00CA7A93" w:rsidP="00E04EEE">
            <w:pPr>
              <w:pStyle w:val="Listepuces"/>
            </w:pPr>
            <w:r w:rsidRPr="00DA2F93">
              <w:t xml:space="preserve">Pour le </w:t>
            </w:r>
            <w:r w:rsidR="00554628" w:rsidRPr="00DA2F93">
              <w:t>Stockeur</w:t>
            </w:r>
            <w:r w:rsidRPr="00DA2F93">
              <w:t>,</w:t>
            </w:r>
          </w:p>
          <w:p w14:paraId="5D795428" w14:textId="77777777" w:rsidR="00341312" w:rsidRPr="00DA2F93" w:rsidRDefault="00341312" w:rsidP="00E04EEE">
            <w:pPr>
              <w:pStyle w:val="Listepuces"/>
            </w:pPr>
          </w:p>
          <w:p w14:paraId="129E6CA2" w14:textId="77777777" w:rsidR="00341312" w:rsidRPr="00DA2F93" w:rsidRDefault="00CA7A93" w:rsidP="00E04EEE">
            <w:pPr>
              <w:pStyle w:val="Listepuces"/>
            </w:pPr>
            <w:r w:rsidRPr="00DA2F93">
              <w:t>___________</w:t>
            </w:r>
          </w:p>
          <w:p w14:paraId="62BA3E1E" w14:textId="77777777" w:rsidR="00CA7A93" w:rsidRPr="00DA2F93" w:rsidRDefault="003F3A8D" w:rsidP="00C20C7D">
            <w:pPr>
              <w:spacing w:before="0"/>
              <w:jc w:val="both"/>
              <w:rPr>
                <w:lang w:val="de-DE"/>
              </w:rPr>
            </w:pPr>
            <w:r w:rsidRPr="00DA2F93">
              <w:rPr>
                <w:lang w:val="de-DE"/>
              </w:rPr>
              <w:t>XXX</w:t>
            </w:r>
          </w:p>
          <w:p w14:paraId="1DEDF8BD" w14:textId="77777777" w:rsidR="00610546" w:rsidRPr="00DA2F93" w:rsidRDefault="0056456B" w:rsidP="00C20C7D">
            <w:pPr>
              <w:spacing w:before="0"/>
              <w:jc w:val="both"/>
              <w:rPr>
                <w:color w:val="000000" w:themeColor="text1"/>
              </w:rPr>
            </w:pPr>
            <w:r w:rsidRPr="00DA2F93">
              <w:rPr>
                <w:color w:val="000000" w:themeColor="text1"/>
              </w:rPr>
              <w:t>Directeur Général</w:t>
            </w:r>
            <w:r w:rsidR="00341312" w:rsidRPr="00DA2F93">
              <w:rPr>
                <w:color w:val="000000" w:themeColor="text1"/>
              </w:rPr>
              <w:t xml:space="preserve"> </w:t>
            </w:r>
            <w:r w:rsidR="003F3A8D" w:rsidRPr="00DA2F93">
              <w:rPr>
                <w:color w:val="000000" w:themeColor="text1"/>
              </w:rPr>
              <w:t>XXX</w:t>
            </w:r>
            <w:r w:rsidR="00856AA6" w:rsidRPr="00DA2F93">
              <w:rPr>
                <w:color w:val="000000" w:themeColor="text1"/>
              </w:rPr>
              <w:t xml:space="preserve"> SA</w:t>
            </w:r>
          </w:p>
          <w:p w14:paraId="4D6C3D75" w14:textId="77777777" w:rsidR="00CA7A93" w:rsidRPr="00DA2F93" w:rsidRDefault="00CA7A93" w:rsidP="00C20C7D">
            <w:pPr>
              <w:spacing w:before="0"/>
              <w:jc w:val="both"/>
              <w:rPr>
                <w:lang w:val="de-DE"/>
              </w:rPr>
            </w:pPr>
            <w:r w:rsidRPr="00DA2F93">
              <w:rPr>
                <w:lang w:val="de-DE"/>
              </w:rPr>
              <w:t xml:space="preserve">Date : </w:t>
            </w:r>
          </w:p>
          <w:p w14:paraId="4C7E8054" w14:textId="77777777" w:rsidR="00CA7A93" w:rsidRPr="00C31ACA" w:rsidRDefault="00CA7A93" w:rsidP="00C20C7D">
            <w:pPr>
              <w:spacing w:before="0"/>
              <w:jc w:val="both"/>
              <w:rPr>
                <w:rFonts w:cs="Arial"/>
              </w:rPr>
            </w:pPr>
            <w:proofErr w:type="spellStart"/>
            <w:r w:rsidRPr="00DA2F93">
              <w:rPr>
                <w:lang w:val="de-DE"/>
              </w:rPr>
              <w:t>Lieu</w:t>
            </w:r>
            <w:proofErr w:type="spellEnd"/>
            <w:r w:rsidRPr="00DA2F93">
              <w:rPr>
                <w:lang w:val="de-DE"/>
              </w:rPr>
              <w:t xml:space="preserve"> :</w:t>
            </w:r>
            <w:r w:rsidRPr="00C31ACA">
              <w:rPr>
                <w:lang w:val="de-DE"/>
              </w:rPr>
              <w:t xml:space="preserve"> </w:t>
            </w:r>
          </w:p>
        </w:tc>
      </w:tr>
    </w:tbl>
    <w:p w14:paraId="2E491F0B" w14:textId="77777777" w:rsidR="00710D99" w:rsidRPr="00C31ACA" w:rsidRDefault="00710D99" w:rsidP="004002DB">
      <w:pPr>
        <w:spacing w:before="0" w:after="0"/>
        <w:jc w:val="both"/>
        <w:rPr>
          <w:b/>
          <w:caps/>
          <w:color w:val="001A70"/>
          <w:szCs w:val="32"/>
        </w:rPr>
      </w:pPr>
    </w:p>
    <w:sectPr w:rsidR="00710D99" w:rsidRPr="00C31ACA" w:rsidSect="000243CB">
      <w:headerReference w:type="default" r:id="rId12"/>
      <w:footerReference w:type="default" r:id="rId13"/>
      <w:pgSz w:w="11906" w:h="16838" w:code="9"/>
      <w:pgMar w:top="1135" w:right="964" w:bottom="1418" w:left="964" w:header="709" w:footer="5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1" w:author="Cedric LIMOUSIN" w:date="2022-07-25T17:31:00Z" w:initials="CL">
    <w:p w14:paraId="0306B727" w14:textId="20BFA83C" w:rsidR="007E6A80" w:rsidRDefault="007E6A80">
      <w:pPr>
        <w:pStyle w:val="Commentaire"/>
      </w:pPr>
      <w:r>
        <w:rPr>
          <w:rStyle w:val="Marquedecommentaire"/>
        </w:rPr>
        <w:annotationRef/>
      </w:r>
      <w:r>
        <w:t>A compléter par le candidat</w:t>
      </w:r>
    </w:p>
  </w:comment>
  <w:comment w:id="158" w:author="BENAVENT Fabien" w:date="2022-08-03T17:27:00Z" w:initials="BF">
    <w:p w14:paraId="1ABED48E" w14:textId="6C26D38C" w:rsidR="00EE2448" w:rsidRDefault="00EE2448">
      <w:pPr>
        <w:pStyle w:val="Commentaire"/>
      </w:pPr>
      <w:r>
        <w:rPr>
          <w:rStyle w:val="Marquedecommentaire"/>
        </w:rPr>
        <w:annotationRef/>
      </w:r>
      <w:r>
        <w:t>A compléter par le candidat</w:t>
      </w:r>
    </w:p>
  </w:comment>
  <w:comment w:id="310" w:author="BENAVENT Fabien" w:date="2022-08-03T17:32:00Z" w:initials="BF">
    <w:p w14:paraId="1983BE75" w14:textId="3F903E04" w:rsidR="006C731B" w:rsidRDefault="006C731B">
      <w:pPr>
        <w:pStyle w:val="Commentaire"/>
      </w:pPr>
      <w:r>
        <w:rPr>
          <w:rStyle w:val="Marquedecommentaire"/>
        </w:rPr>
        <w:annotationRef/>
      </w:r>
      <w:r>
        <w:t>A renseigner par le candidat</w:t>
      </w:r>
    </w:p>
  </w:comment>
  <w:comment w:id="311" w:author="BENAVENT Fabien" w:date="2022-08-03T17:32:00Z" w:initials="BF">
    <w:p w14:paraId="1BA7F4E0" w14:textId="427D2B0F" w:rsidR="006C731B" w:rsidRDefault="006C731B">
      <w:pPr>
        <w:pStyle w:val="Commentaire"/>
      </w:pPr>
      <w:r>
        <w:rPr>
          <w:rStyle w:val="Marquedecommentaire"/>
        </w:rPr>
        <w:annotationRef/>
      </w:r>
      <w:r>
        <w:t>A renseigner par le candidat</w:t>
      </w:r>
    </w:p>
  </w:comment>
  <w:comment w:id="312" w:author="BENAVENT Fabien" w:date="2022-08-03T17:32:00Z" w:initials="BF">
    <w:p w14:paraId="56E9C639" w14:textId="0F2A2332" w:rsidR="006C731B" w:rsidRDefault="006C731B">
      <w:pPr>
        <w:pStyle w:val="Commentaire"/>
      </w:pPr>
      <w:r>
        <w:rPr>
          <w:rStyle w:val="Marquedecommentaire"/>
        </w:rPr>
        <w:annotationRef/>
      </w:r>
      <w:r>
        <w:t>A renseigner par le candidat</w:t>
      </w:r>
    </w:p>
  </w:comment>
  <w:comment w:id="387" w:author="BENAVENT Fabien" w:date="2022-08-03T17:34:00Z" w:initials="BF">
    <w:p w14:paraId="748E7DF5" w14:textId="497E6815" w:rsidR="00FC2966" w:rsidRDefault="00FC2966">
      <w:pPr>
        <w:pStyle w:val="Commentaire"/>
      </w:pPr>
      <w:r>
        <w:rPr>
          <w:rStyle w:val="Marquedecommentaire"/>
        </w:rPr>
        <w:annotationRef/>
      </w:r>
      <w:r>
        <w:t>A renseigner par le candidat</w:t>
      </w:r>
    </w:p>
  </w:comment>
  <w:comment w:id="391" w:author="BENAVENT Fabien" w:date="2022-08-03T17:34:00Z" w:initials="BF">
    <w:p w14:paraId="157B490C" w14:textId="039F2408" w:rsidR="00074FD0" w:rsidRDefault="00074FD0">
      <w:pPr>
        <w:pStyle w:val="Commentaire"/>
      </w:pPr>
      <w:r>
        <w:rPr>
          <w:rStyle w:val="Marquedecommentaire"/>
        </w:rPr>
        <w:annotationRef/>
      </w:r>
      <w:r>
        <w:t>A renseigner par le candidat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6B727" w15:done="0"/>
  <w15:commentEx w15:paraId="1ABED48E" w15:done="0"/>
  <w15:commentEx w15:paraId="41487BAD" w15:done="0"/>
  <w15:commentEx w15:paraId="5D2452DB" w15:done="0"/>
  <w15:commentEx w15:paraId="1FE82137" w15:paraIdParent="5D2452DB" w15:done="0"/>
  <w15:commentEx w15:paraId="1983BE75" w15:done="0"/>
  <w15:commentEx w15:paraId="1BA7F4E0" w15:done="0"/>
  <w15:commentEx w15:paraId="56E9C639" w15:done="0"/>
  <w15:commentEx w15:paraId="748E7DF5" w15:done="0"/>
  <w15:commentEx w15:paraId="157B490C" w15:done="0"/>
  <w15:commentEx w15:paraId="23C7DD4A" w15:done="0"/>
  <w15:commentEx w15:paraId="4B775790" w15:paraIdParent="23C7D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2E77" w16cex:dateUtc="2022-08-03T15:27:00Z"/>
  <w16cex:commentExtensible w16cex:durableId="26952F5C" w16cex:dateUtc="2022-08-03T15:31:00Z"/>
  <w16cex:commentExtensible w16cex:durableId="26952FB2" w16cex:dateUtc="2022-08-03T15:32:00Z"/>
  <w16cex:commentExtensible w16cex:durableId="26952FBB" w16cex:dateUtc="2022-08-03T15:32:00Z"/>
  <w16cex:commentExtensible w16cex:durableId="26952FC3" w16cex:dateUtc="2022-08-03T15:32:00Z"/>
  <w16cex:commentExtensible w16cex:durableId="26953021" w16cex:dateUtc="2022-08-03T15:34:00Z"/>
  <w16cex:commentExtensible w16cex:durableId="26953039" w16cex:dateUtc="2022-08-03T15:34:00Z"/>
  <w16cex:commentExtensible w16cex:durableId="26953081" w16cex:dateUtc="2022-08-03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6B727" w16cid:durableId="26952BB3"/>
  <w16cid:commentId w16cid:paraId="1ABED48E" w16cid:durableId="26952E77"/>
  <w16cid:commentId w16cid:paraId="41487BAD" w16cid:durableId="26952BB4"/>
  <w16cid:commentId w16cid:paraId="5D2452DB" w16cid:durableId="26952BB5"/>
  <w16cid:commentId w16cid:paraId="1FE82137" w16cid:durableId="26952F5C"/>
  <w16cid:commentId w16cid:paraId="1983BE75" w16cid:durableId="26952FB2"/>
  <w16cid:commentId w16cid:paraId="1BA7F4E0" w16cid:durableId="26952FBB"/>
  <w16cid:commentId w16cid:paraId="56E9C639" w16cid:durableId="26952FC3"/>
  <w16cid:commentId w16cid:paraId="748E7DF5" w16cid:durableId="26953021"/>
  <w16cid:commentId w16cid:paraId="157B490C" w16cid:durableId="26953039"/>
  <w16cid:commentId w16cid:paraId="23C7DD4A" w16cid:durableId="26952BB6"/>
  <w16cid:commentId w16cid:paraId="4B775790" w16cid:durableId="269530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30AF6" w14:textId="77777777" w:rsidR="00FD44DD" w:rsidRDefault="00FD44DD" w:rsidP="00D332A8">
      <w:pPr>
        <w:spacing w:after="0"/>
      </w:pPr>
      <w:r>
        <w:separator/>
      </w:r>
    </w:p>
  </w:endnote>
  <w:endnote w:type="continuationSeparator" w:id="0">
    <w:p w14:paraId="13ADE0DE" w14:textId="77777777" w:rsidR="00FD44DD" w:rsidRDefault="00FD44DD" w:rsidP="00D332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altName w:val="Arial Black"/>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Corbe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Gras">
    <w:altName w:val="Arial"/>
    <w:panose1 w:val="00000000000000000000"/>
    <w:charset w:val="4D"/>
    <w:family w:val="roman"/>
    <w:notTrueType/>
    <w:pitch w:val="default"/>
    <w:sig w:usb0="00000003" w:usb1="00000014"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BC5E2" w14:textId="1AB0B641" w:rsidR="007E6A80" w:rsidRPr="00940370" w:rsidRDefault="007E6A80" w:rsidP="00F60852">
    <w:pPr>
      <w:pStyle w:val="EDFPiedPage"/>
      <w:rPr>
        <w:sz w:val="16"/>
        <w:szCs w:val="16"/>
      </w:rPr>
    </w:pPr>
    <w:r w:rsidRPr="00940370">
      <w:rPr>
        <w:sz w:val="16"/>
        <w:szCs w:val="16"/>
      </w:rPr>
      <w:fldChar w:fldCharType="begin"/>
    </w:r>
    <w:r w:rsidRPr="00940370">
      <w:rPr>
        <w:sz w:val="16"/>
        <w:szCs w:val="16"/>
      </w:rPr>
      <w:instrText xml:space="preserve"> PAGE   \* MERGEFORMAT </w:instrText>
    </w:r>
    <w:r w:rsidRPr="00940370">
      <w:rPr>
        <w:sz w:val="16"/>
        <w:szCs w:val="16"/>
      </w:rPr>
      <w:fldChar w:fldCharType="separate"/>
    </w:r>
    <w:r w:rsidR="00A775B6">
      <w:rPr>
        <w:noProof/>
        <w:sz w:val="16"/>
        <w:szCs w:val="16"/>
      </w:rPr>
      <w:t>31</w:t>
    </w:r>
    <w:r w:rsidRPr="00940370">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sidR="00A775B6">
      <w:rPr>
        <w:noProof/>
        <w:sz w:val="16"/>
        <w:szCs w:val="16"/>
      </w:rPr>
      <w:t>32</w:t>
    </w:r>
    <w:r>
      <w:rPr>
        <w:sz w:val="16"/>
        <w:szCs w:val="16"/>
      </w:rPr>
      <w:fldChar w:fldCharType="end"/>
    </w:r>
  </w:p>
  <w:p w14:paraId="74B32BDE" w14:textId="77777777" w:rsidR="007E6A80" w:rsidRDefault="007E6A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C473A" w14:textId="77777777" w:rsidR="00FD44DD" w:rsidRDefault="00FD44DD" w:rsidP="00D332A8">
      <w:pPr>
        <w:spacing w:after="0"/>
      </w:pPr>
      <w:r>
        <w:separator/>
      </w:r>
    </w:p>
  </w:footnote>
  <w:footnote w:type="continuationSeparator" w:id="0">
    <w:p w14:paraId="5054DE7F" w14:textId="77777777" w:rsidR="00FD44DD" w:rsidRDefault="00FD44DD" w:rsidP="00D332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7C254" w14:textId="335649C6" w:rsidR="007E6A80" w:rsidRPr="006B47FD" w:rsidRDefault="007E6A80" w:rsidP="00B06849">
    <w:pPr>
      <w:rPr>
        <w:sz w:val="2"/>
        <w:szCs w:val="2"/>
      </w:rPr>
    </w:pPr>
  </w:p>
  <w:p w14:paraId="20400955" w14:textId="77777777" w:rsidR="007E6A80" w:rsidRPr="00043E27" w:rsidRDefault="007E6A80">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3026C30"/>
    <w:lvl w:ilvl="0">
      <w:start w:val="1"/>
      <w:numFmt w:val="decimal"/>
      <w:lvlText w:val="%1."/>
      <w:lvlJc w:val="left"/>
      <w:pPr>
        <w:tabs>
          <w:tab w:val="num" w:pos="0"/>
        </w:tabs>
        <w:ind w:left="705" w:hanging="705"/>
      </w:pPr>
      <w:rPr>
        <w:rFonts w:ascii="Franklin Gothic Heavy" w:hAnsi="Franklin Gothic Heavy" w:hint="default"/>
        <w:b w:val="0"/>
        <w:bCs/>
      </w:rPr>
    </w:lvl>
    <w:lvl w:ilvl="1">
      <w:start w:val="1"/>
      <w:numFmt w:val="decimal"/>
      <w:lvlText w:val="%1.%2"/>
      <w:lvlJc w:val="left"/>
      <w:pPr>
        <w:tabs>
          <w:tab w:val="num" w:pos="0"/>
        </w:tabs>
        <w:ind w:left="1413" w:hanging="705"/>
      </w:pPr>
      <w:rPr>
        <w:rFonts w:ascii="Franklin Gothic Heavy" w:hAnsi="Franklin Gothic Heavy" w:cs="Arial" w:hint="default"/>
        <w:b w:val="0"/>
        <w:bCs/>
        <w:sz w:val="20"/>
        <w:szCs w:val="20"/>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
    <w:nsid w:val="08EB417A"/>
    <w:multiLevelType w:val="hybridMultilevel"/>
    <w:tmpl w:val="6A280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F25D4B"/>
    <w:multiLevelType w:val="hybridMultilevel"/>
    <w:tmpl w:val="3FD09A20"/>
    <w:lvl w:ilvl="0" w:tplc="E98E736A">
      <w:start w:val="1"/>
      <w:numFmt w:val="bullet"/>
      <w:pStyle w:val="EDFTextePuceEncartGris"/>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5F2BBF"/>
    <w:multiLevelType w:val="hybridMultilevel"/>
    <w:tmpl w:val="C7EAD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B8145E"/>
    <w:multiLevelType w:val="hybridMultilevel"/>
    <w:tmpl w:val="1A4AC8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B23861"/>
    <w:multiLevelType w:val="hybridMultilevel"/>
    <w:tmpl w:val="77265FD6"/>
    <w:lvl w:ilvl="0" w:tplc="C7A2061A">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A922BA"/>
    <w:multiLevelType w:val="hybridMultilevel"/>
    <w:tmpl w:val="F5069AE8"/>
    <w:lvl w:ilvl="0" w:tplc="C90EDB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CB1A8E"/>
    <w:multiLevelType w:val="hybridMultilevel"/>
    <w:tmpl w:val="42FE8598"/>
    <w:lvl w:ilvl="0" w:tplc="8628232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0D3AB8"/>
    <w:multiLevelType w:val="hybridMultilevel"/>
    <w:tmpl w:val="DD4C3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97649B"/>
    <w:multiLevelType w:val="hybridMultilevel"/>
    <w:tmpl w:val="D876A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C77F3C"/>
    <w:multiLevelType w:val="hybridMultilevel"/>
    <w:tmpl w:val="804C6D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B7492D"/>
    <w:multiLevelType w:val="hybridMultilevel"/>
    <w:tmpl w:val="530EDB68"/>
    <w:lvl w:ilvl="0" w:tplc="CA18831C">
      <w:start w:val="1"/>
      <w:numFmt w:val="bullet"/>
      <w:pStyle w:val="EDFTextePuceNiveau1"/>
      <w:lvlText w:val="■"/>
      <w:lvlJc w:val="left"/>
      <w:pPr>
        <w:ind w:left="6031" w:hanging="360"/>
      </w:pPr>
      <w:rPr>
        <w:rFonts w:ascii="Arial" w:hAnsi="Arial" w:hint="default"/>
        <w:color w:val="001A70"/>
        <w:spacing w:val="0"/>
        <w:w w:val="100"/>
        <w:position w:val="0"/>
      </w:rPr>
    </w:lvl>
    <w:lvl w:ilvl="1" w:tplc="040C0003" w:tentative="1">
      <w:start w:val="1"/>
      <w:numFmt w:val="bullet"/>
      <w:lvlText w:val="o"/>
      <w:lvlJc w:val="left"/>
      <w:pPr>
        <w:ind w:left="6544" w:hanging="360"/>
      </w:pPr>
      <w:rPr>
        <w:rFonts w:ascii="Courier New" w:hAnsi="Courier New" w:cs="Courier New" w:hint="default"/>
      </w:rPr>
    </w:lvl>
    <w:lvl w:ilvl="2" w:tplc="040C0005" w:tentative="1">
      <w:start w:val="1"/>
      <w:numFmt w:val="bullet"/>
      <w:lvlText w:val=""/>
      <w:lvlJc w:val="left"/>
      <w:pPr>
        <w:ind w:left="7264" w:hanging="360"/>
      </w:pPr>
      <w:rPr>
        <w:rFonts w:ascii="Wingdings" w:hAnsi="Wingdings" w:hint="default"/>
      </w:rPr>
    </w:lvl>
    <w:lvl w:ilvl="3" w:tplc="040C0001" w:tentative="1">
      <w:start w:val="1"/>
      <w:numFmt w:val="bullet"/>
      <w:lvlText w:val=""/>
      <w:lvlJc w:val="left"/>
      <w:pPr>
        <w:ind w:left="7984" w:hanging="360"/>
      </w:pPr>
      <w:rPr>
        <w:rFonts w:ascii="Symbol" w:hAnsi="Symbol" w:hint="default"/>
      </w:rPr>
    </w:lvl>
    <w:lvl w:ilvl="4" w:tplc="040C0003" w:tentative="1">
      <w:start w:val="1"/>
      <w:numFmt w:val="bullet"/>
      <w:lvlText w:val="o"/>
      <w:lvlJc w:val="left"/>
      <w:pPr>
        <w:ind w:left="8704" w:hanging="360"/>
      </w:pPr>
      <w:rPr>
        <w:rFonts w:ascii="Courier New" w:hAnsi="Courier New" w:cs="Courier New" w:hint="default"/>
      </w:rPr>
    </w:lvl>
    <w:lvl w:ilvl="5" w:tplc="040C0005" w:tentative="1">
      <w:start w:val="1"/>
      <w:numFmt w:val="bullet"/>
      <w:lvlText w:val=""/>
      <w:lvlJc w:val="left"/>
      <w:pPr>
        <w:ind w:left="9424" w:hanging="360"/>
      </w:pPr>
      <w:rPr>
        <w:rFonts w:ascii="Wingdings" w:hAnsi="Wingdings" w:hint="default"/>
      </w:rPr>
    </w:lvl>
    <w:lvl w:ilvl="6" w:tplc="040C0001" w:tentative="1">
      <w:start w:val="1"/>
      <w:numFmt w:val="bullet"/>
      <w:lvlText w:val=""/>
      <w:lvlJc w:val="left"/>
      <w:pPr>
        <w:ind w:left="10144" w:hanging="360"/>
      </w:pPr>
      <w:rPr>
        <w:rFonts w:ascii="Symbol" w:hAnsi="Symbol" w:hint="default"/>
      </w:rPr>
    </w:lvl>
    <w:lvl w:ilvl="7" w:tplc="040C0003" w:tentative="1">
      <w:start w:val="1"/>
      <w:numFmt w:val="bullet"/>
      <w:lvlText w:val="o"/>
      <w:lvlJc w:val="left"/>
      <w:pPr>
        <w:ind w:left="10864" w:hanging="360"/>
      </w:pPr>
      <w:rPr>
        <w:rFonts w:ascii="Courier New" w:hAnsi="Courier New" w:cs="Courier New" w:hint="default"/>
      </w:rPr>
    </w:lvl>
    <w:lvl w:ilvl="8" w:tplc="040C0005" w:tentative="1">
      <w:start w:val="1"/>
      <w:numFmt w:val="bullet"/>
      <w:lvlText w:val=""/>
      <w:lvlJc w:val="left"/>
      <w:pPr>
        <w:ind w:left="11584" w:hanging="360"/>
      </w:pPr>
      <w:rPr>
        <w:rFonts w:ascii="Wingdings" w:hAnsi="Wingdings" w:hint="default"/>
      </w:rPr>
    </w:lvl>
  </w:abstractNum>
  <w:abstractNum w:abstractNumId="12">
    <w:nsid w:val="30712B89"/>
    <w:multiLevelType w:val="hybridMultilevel"/>
    <w:tmpl w:val="91A61764"/>
    <w:lvl w:ilvl="0" w:tplc="DCB8044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1A52DF"/>
    <w:multiLevelType w:val="hybridMultilevel"/>
    <w:tmpl w:val="D29AE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1E7CD8"/>
    <w:multiLevelType w:val="multilevel"/>
    <w:tmpl w:val="E99A414C"/>
    <w:lvl w:ilvl="0">
      <w:start w:val="1"/>
      <w:numFmt w:val="decimal"/>
      <w:pStyle w:val="EDFTitre1"/>
      <w:suff w:val="space"/>
      <w:lvlText w:val="%1."/>
      <w:lvlJc w:val="left"/>
      <w:pPr>
        <w:ind w:left="0" w:firstLine="0"/>
      </w:pPr>
      <w:rPr>
        <w:rFonts w:hint="default"/>
      </w:rPr>
    </w:lvl>
    <w:lvl w:ilvl="1">
      <w:start w:val="1"/>
      <w:numFmt w:val="decimal"/>
      <w:pStyle w:val="EDFTitre2"/>
      <w:lvlText w:val="%1.%2."/>
      <w:lvlJc w:val="left"/>
      <w:pPr>
        <w:ind w:left="284" w:firstLine="0"/>
      </w:pPr>
      <w:rPr>
        <w:rFonts w:hint="default"/>
      </w:rPr>
    </w:lvl>
    <w:lvl w:ilvl="2">
      <w:start w:val="1"/>
      <w:numFmt w:val="decimal"/>
      <w:pStyle w:val="EDFTitre3"/>
      <w:suff w:val="space"/>
      <w:lvlText w:val="%1.%2.%3."/>
      <w:lvlJc w:val="left"/>
      <w:pPr>
        <w:ind w:left="0" w:firstLine="0"/>
      </w:pPr>
      <w:rPr>
        <w:rFonts w:hint="default"/>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15">
    <w:nsid w:val="435733C9"/>
    <w:multiLevelType w:val="multilevel"/>
    <w:tmpl w:val="213E8AFC"/>
    <w:styleLink w:val="EDFlist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16">
    <w:nsid w:val="4487285A"/>
    <w:multiLevelType w:val="hybridMultilevel"/>
    <w:tmpl w:val="99D4CD26"/>
    <w:lvl w:ilvl="0" w:tplc="8BF23196">
      <w:start w:val="10"/>
      <w:numFmt w:val="bullet"/>
      <w:lvlText w:val="-"/>
      <w:lvlJc w:val="left"/>
      <w:pPr>
        <w:ind w:left="720" w:hanging="360"/>
      </w:pPr>
      <w:rPr>
        <w:rFonts w:ascii="Franklin Gothic Book" w:eastAsia="Cambria"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5A0080"/>
    <w:multiLevelType w:val="multilevel"/>
    <w:tmpl w:val="99142496"/>
    <w:lvl w:ilvl="0">
      <w:start w:val="1"/>
      <w:numFmt w:val="decimal"/>
      <w:lvlText w:val="%1."/>
      <w:lvlJc w:val="left"/>
      <w:pPr>
        <w:tabs>
          <w:tab w:val="num" w:pos="0"/>
        </w:tabs>
        <w:ind w:left="705" w:hanging="705"/>
      </w:pPr>
      <w:rPr>
        <w:rFonts w:ascii="Franklin Gothic Heavy" w:hAnsi="Franklin Gothic Heavy" w:hint="default"/>
        <w:b w:val="0"/>
        <w:bCs/>
      </w:rPr>
    </w:lvl>
    <w:lvl w:ilvl="1">
      <w:start w:val="1"/>
      <w:numFmt w:val="decimal"/>
      <w:lvlText w:val="%1.%2"/>
      <w:lvlJc w:val="left"/>
      <w:pPr>
        <w:tabs>
          <w:tab w:val="num" w:pos="0"/>
        </w:tabs>
        <w:ind w:left="1413" w:hanging="705"/>
      </w:pPr>
      <w:rPr>
        <w:rFonts w:ascii="Franklin Gothic Heavy" w:hAnsi="Franklin Gothic Heavy" w:cs="Arial" w:hint="default"/>
        <w:b w:val="0"/>
        <w:bCs/>
        <w:sz w:val="20"/>
        <w:szCs w:val="20"/>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8">
    <w:nsid w:val="4D660848"/>
    <w:multiLevelType w:val="hybridMultilevel"/>
    <w:tmpl w:val="FBE4F2C2"/>
    <w:lvl w:ilvl="0" w:tplc="71B474B6">
      <w:start w:val="1"/>
      <w:numFmt w:val="bullet"/>
      <w:pStyle w:val="EDFTextePuceNiveau2"/>
      <w:lvlText w:val="□"/>
      <w:lvlJc w:val="left"/>
      <w:pPr>
        <w:ind w:left="1636"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803B69"/>
    <w:multiLevelType w:val="hybridMultilevel"/>
    <w:tmpl w:val="CB0E52FE"/>
    <w:lvl w:ilvl="0" w:tplc="10969C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3BB740C"/>
    <w:multiLevelType w:val="hybridMultilevel"/>
    <w:tmpl w:val="882C6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F07071"/>
    <w:multiLevelType w:val="hybridMultilevel"/>
    <w:tmpl w:val="C952D34C"/>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22">
    <w:nsid w:val="5C532B90"/>
    <w:multiLevelType w:val="hybridMultilevel"/>
    <w:tmpl w:val="418E6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EC6335"/>
    <w:multiLevelType w:val="hybridMultilevel"/>
    <w:tmpl w:val="8C5C4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1F4114"/>
    <w:multiLevelType w:val="hybridMultilevel"/>
    <w:tmpl w:val="CDF49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231A54"/>
    <w:multiLevelType w:val="hybridMultilevel"/>
    <w:tmpl w:val="9B78C148"/>
    <w:lvl w:ilvl="0" w:tplc="85B4B57A">
      <w:start w:val="1"/>
      <w:numFmt w:val="bullet"/>
      <w:pStyle w:val="EDFTextePuceEncartOrange"/>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697032"/>
    <w:multiLevelType w:val="hybridMultilevel"/>
    <w:tmpl w:val="1716FF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32775F0"/>
    <w:multiLevelType w:val="hybridMultilevel"/>
    <w:tmpl w:val="71FC3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817C0D"/>
    <w:multiLevelType w:val="hybridMultilevel"/>
    <w:tmpl w:val="A852BF28"/>
    <w:lvl w:ilvl="0" w:tplc="B6742E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4360F3C"/>
    <w:multiLevelType w:val="hybridMultilevel"/>
    <w:tmpl w:val="23F4A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576EDB"/>
    <w:multiLevelType w:val="hybridMultilevel"/>
    <w:tmpl w:val="32C62E00"/>
    <w:lvl w:ilvl="0" w:tplc="6AB65F2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724D34"/>
    <w:multiLevelType w:val="hybridMultilevel"/>
    <w:tmpl w:val="5FA256D8"/>
    <w:lvl w:ilvl="0" w:tplc="10969C58">
      <w:numFmt w:val="bullet"/>
      <w:lvlText w:val="-"/>
      <w:lvlJc w:val="left"/>
      <w:pPr>
        <w:ind w:left="361" w:hanging="360"/>
      </w:pPr>
      <w:rPr>
        <w:rFonts w:ascii="Arial" w:eastAsia="Calibri" w:hAnsi="Arial" w:cs="Arial" w:hint="default"/>
      </w:rPr>
    </w:lvl>
    <w:lvl w:ilvl="1" w:tplc="040C0003">
      <w:start w:val="1"/>
      <w:numFmt w:val="bullet"/>
      <w:lvlText w:val="o"/>
      <w:lvlJc w:val="left"/>
      <w:pPr>
        <w:ind w:left="1081" w:hanging="360"/>
      </w:pPr>
      <w:rPr>
        <w:rFonts w:ascii="Courier New" w:hAnsi="Courier New" w:cs="Courier New" w:hint="default"/>
      </w:rPr>
    </w:lvl>
    <w:lvl w:ilvl="2" w:tplc="040C0005">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32">
    <w:nsid w:val="773577F2"/>
    <w:multiLevelType w:val="hybridMultilevel"/>
    <w:tmpl w:val="8CFE5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BA5A82"/>
    <w:multiLevelType w:val="hybridMultilevel"/>
    <w:tmpl w:val="E926ED1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4">
    <w:nsid w:val="7AC51A2E"/>
    <w:multiLevelType w:val="hybridMultilevel"/>
    <w:tmpl w:val="0B980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5"/>
  </w:num>
  <w:num w:numId="4">
    <w:abstractNumId w:val="15"/>
  </w:num>
  <w:num w:numId="5">
    <w:abstractNumId w:val="2"/>
  </w:num>
  <w:num w:numId="6">
    <w:abstractNumId w:val="31"/>
  </w:num>
  <w:num w:numId="7">
    <w:abstractNumId w:val="33"/>
  </w:num>
  <w:num w:numId="8">
    <w:abstractNumId w:val="14"/>
  </w:num>
  <w:num w:numId="9">
    <w:abstractNumId w:val="28"/>
  </w:num>
  <w:num w:numId="10">
    <w:abstractNumId w:val="6"/>
  </w:num>
  <w:num w:numId="11">
    <w:abstractNumId w:val="0"/>
  </w:num>
  <w:num w:numId="12">
    <w:abstractNumId w:val="19"/>
  </w:num>
  <w:num w:numId="13">
    <w:abstractNumId w:val="16"/>
  </w:num>
  <w:num w:numId="14">
    <w:abstractNumId w:val="17"/>
  </w:num>
  <w:num w:numId="15">
    <w:abstractNumId w:val="12"/>
  </w:num>
  <w:num w:numId="16">
    <w:abstractNumId w:val="32"/>
  </w:num>
  <w:num w:numId="17">
    <w:abstractNumId w:val="5"/>
  </w:num>
  <w:num w:numId="18">
    <w:abstractNumId w:val="24"/>
  </w:num>
  <w:num w:numId="19">
    <w:abstractNumId w:val="9"/>
  </w:num>
  <w:num w:numId="20">
    <w:abstractNumId w:val="21"/>
  </w:num>
  <w:num w:numId="21">
    <w:abstractNumId w:val="26"/>
  </w:num>
  <w:num w:numId="22">
    <w:abstractNumId w:val="20"/>
  </w:num>
  <w:num w:numId="23">
    <w:abstractNumId w:val="29"/>
  </w:num>
  <w:num w:numId="24">
    <w:abstractNumId w:va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num>
  <w:num w:numId="28">
    <w:abstractNumId w:val="10"/>
  </w:num>
  <w:num w:numId="29">
    <w:abstractNumId w:val="4"/>
  </w:num>
  <w:num w:numId="30">
    <w:abstractNumId w:val="34"/>
  </w:num>
  <w:num w:numId="31">
    <w:abstractNumId w:val="3"/>
  </w:num>
  <w:num w:numId="32">
    <w:abstractNumId w:val="27"/>
  </w:num>
  <w:num w:numId="33">
    <w:abstractNumId w:val="23"/>
  </w:num>
  <w:num w:numId="34">
    <w:abstractNumId w:val="7"/>
  </w:num>
  <w:num w:numId="35">
    <w:abstractNumId w:val="22"/>
  </w:num>
  <w:num w:numId="36">
    <w:abstractNumId w:val="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AVENT Fabien">
    <w15:presenceInfo w15:providerId="AD" w15:userId="S::fabien.benavent@edf.fr::fc12e211-1331-466c-bdba-15e46ce1ed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A3"/>
    <w:rsid w:val="000004A7"/>
    <w:rsid w:val="00000D58"/>
    <w:rsid w:val="00001095"/>
    <w:rsid w:val="000042A1"/>
    <w:rsid w:val="0000488A"/>
    <w:rsid w:val="00004A87"/>
    <w:rsid w:val="00005982"/>
    <w:rsid w:val="00006BD3"/>
    <w:rsid w:val="00007A21"/>
    <w:rsid w:val="00012868"/>
    <w:rsid w:val="00012FD9"/>
    <w:rsid w:val="00013562"/>
    <w:rsid w:val="000202D9"/>
    <w:rsid w:val="00020A41"/>
    <w:rsid w:val="00021BC6"/>
    <w:rsid w:val="00022C58"/>
    <w:rsid w:val="000243CB"/>
    <w:rsid w:val="00025293"/>
    <w:rsid w:val="00025E2E"/>
    <w:rsid w:val="00026B10"/>
    <w:rsid w:val="00030262"/>
    <w:rsid w:val="00030C4B"/>
    <w:rsid w:val="0003136F"/>
    <w:rsid w:val="00031D10"/>
    <w:rsid w:val="000334EA"/>
    <w:rsid w:val="00034069"/>
    <w:rsid w:val="000349CF"/>
    <w:rsid w:val="00035519"/>
    <w:rsid w:val="0003596D"/>
    <w:rsid w:val="00037904"/>
    <w:rsid w:val="00040239"/>
    <w:rsid w:val="000415AB"/>
    <w:rsid w:val="00041803"/>
    <w:rsid w:val="00041D17"/>
    <w:rsid w:val="00042081"/>
    <w:rsid w:val="00043E27"/>
    <w:rsid w:val="00045042"/>
    <w:rsid w:val="00046B3E"/>
    <w:rsid w:val="00046DF4"/>
    <w:rsid w:val="00047312"/>
    <w:rsid w:val="000478A9"/>
    <w:rsid w:val="00047DBE"/>
    <w:rsid w:val="00047F6E"/>
    <w:rsid w:val="000505E6"/>
    <w:rsid w:val="0005308F"/>
    <w:rsid w:val="000533DB"/>
    <w:rsid w:val="000536B6"/>
    <w:rsid w:val="00053AF8"/>
    <w:rsid w:val="0005455D"/>
    <w:rsid w:val="000548E3"/>
    <w:rsid w:val="000549CE"/>
    <w:rsid w:val="00054E44"/>
    <w:rsid w:val="00056804"/>
    <w:rsid w:val="0005683E"/>
    <w:rsid w:val="000575EC"/>
    <w:rsid w:val="0006121C"/>
    <w:rsid w:val="000618B2"/>
    <w:rsid w:val="00062030"/>
    <w:rsid w:val="00063E83"/>
    <w:rsid w:val="000653B3"/>
    <w:rsid w:val="00065772"/>
    <w:rsid w:val="00070716"/>
    <w:rsid w:val="00071ABB"/>
    <w:rsid w:val="00071E2A"/>
    <w:rsid w:val="00072ACE"/>
    <w:rsid w:val="00073339"/>
    <w:rsid w:val="0007393A"/>
    <w:rsid w:val="00074FD0"/>
    <w:rsid w:val="00074FE9"/>
    <w:rsid w:val="00075288"/>
    <w:rsid w:val="00080D05"/>
    <w:rsid w:val="000814BB"/>
    <w:rsid w:val="000827EC"/>
    <w:rsid w:val="00083D4D"/>
    <w:rsid w:val="00090C40"/>
    <w:rsid w:val="0009130C"/>
    <w:rsid w:val="00091B72"/>
    <w:rsid w:val="0009201D"/>
    <w:rsid w:val="0009239E"/>
    <w:rsid w:val="0009317D"/>
    <w:rsid w:val="00093CB4"/>
    <w:rsid w:val="00094BAF"/>
    <w:rsid w:val="000951C3"/>
    <w:rsid w:val="00095418"/>
    <w:rsid w:val="00095609"/>
    <w:rsid w:val="00095D3C"/>
    <w:rsid w:val="00095F1B"/>
    <w:rsid w:val="000963C2"/>
    <w:rsid w:val="00096955"/>
    <w:rsid w:val="000A05AB"/>
    <w:rsid w:val="000A1B26"/>
    <w:rsid w:val="000A5DE2"/>
    <w:rsid w:val="000A6E4E"/>
    <w:rsid w:val="000A7D30"/>
    <w:rsid w:val="000B177A"/>
    <w:rsid w:val="000B1D51"/>
    <w:rsid w:val="000B22F2"/>
    <w:rsid w:val="000B2A7D"/>
    <w:rsid w:val="000B2C29"/>
    <w:rsid w:val="000B50E3"/>
    <w:rsid w:val="000B5CDD"/>
    <w:rsid w:val="000B5FF9"/>
    <w:rsid w:val="000B7864"/>
    <w:rsid w:val="000C0CE8"/>
    <w:rsid w:val="000C1902"/>
    <w:rsid w:val="000C276F"/>
    <w:rsid w:val="000C2976"/>
    <w:rsid w:val="000C2AB1"/>
    <w:rsid w:val="000C4A7C"/>
    <w:rsid w:val="000C4CD6"/>
    <w:rsid w:val="000C5A6A"/>
    <w:rsid w:val="000C6529"/>
    <w:rsid w:val="000C6886"/>
    <w:rsid w:val="000C7AA4"/>
    <w:rsid w:val="000D075A"/>
    <w:rsid w:val="000D083D"/>
    <w:rsid w:val="000D3266"/>
    <w:rsid w:val="000D36F8"/>
    <w:rsid w:val="000D5C0C"/>
    <w:rsid w:val="000D5DEC"/>
    <w:rsid w:val="000D6CB9"/>
    <w:rsid w:val="000E1606"/>
    <w:rsid w:val="000E1F48"/>
    <w:rsid w:val="000E25A2"/>
    <w:rsid w:val="000E3D73"/>
    <w:rsid w:val="000E5AB0"/>
    <w:rsid w:val="000E6D65"/>
    <w:rsid w:val="000F0F71"/>
    <w:rsid w:val="000F3EC5"/>
    <w:rsid w:val="000F4734"/>
    <w:rsid w:val="000F4F14"/>
    <w:rsid w:val="000F537D"/>
    <w:rsid w:val="000F76F0"/>
    <w:rsid w:val="001007A3"/>
    <w:rsid w:val="00100B78"/>
    <w:rsid w:val="00100D50"/>
    <w:rsid w:val="00101236"/>
    <w:rsid w:val="00101569"/>
    <w:rsid w:val="00101FC6"/>
    <w:rsid w:val="00105452"/>
    <w:rsid w:val="0010638F"/>
    <w:rsid w:val="00106D8E"/>
    <w:rsid w:val="00111810"/>
    <w:rsid w:val="00112724"/>
    <w:rsid w:val="001136C3"/>
    <w:rsid w:val="001143A1"/>
    <w:rsid w:val="00116DA5"/>
    <w:rsid w:val="001208D0"/>
    <w:rsid w:val="00120915"/>
    <w:rsid w:val="00122B58"/>
    <w:rsid w:val="00123F36"/>
    <w:rsid w:val="00124EB5"/>
    <w:rsid w:val="001257DE"/>
    <w:rsid w:val="0012677E"/>
    <w:rsid w:val="00127482"/>
    <w:rsid w:val="001274A3"/>
    <w:rsid w:val="00130875"/>
    <w:rsid w:val="00132317"/>
    <w:rsid w:val="00136AC8"/>
    <w:rsid w:val="00140037"/>
    <w:rsid w:val="00141E08"/>
    <w:rsid w:val="00142B5B"/>
    <w:rsid w:val="001433B8"/>
    <w:rsid w:val="0014365F"/>
    <w:rsid w:val="0014415F"/>
    <w:rsid w:val="0014795B"/>
    <w:rsid w:val="0015004E"/>
    <w:rsid w:val="001505B5"/>
    <w:rsid w:val="00151EEA"/>
    <w:rsid w:val="00152C96"/>
    <w:rsid w:val="00152FC2"/>
    <w:rsid w:val="00153B7E"/>
    <w:rsid w:val="00157204"/>
    <w:rsid w:val="0016330F"/>
    <w:rsid w:val="00163B05"/>
    <w:rsid w:val="001647A5"/>
    <w:rsid w:val="001657AF"/>
    <w:rsid w:val="00167249"/>
    <w:rsid w:val="00167E86"/>
    <w:rsid w:val="00171F53"/>
    <w:rsid w:val="001721CF"/>
    <w:rsid w:val="00174625"/>
    <w:rsid w:val="00176055"/>
    <w:rsid w:val="00176317"/>
    <w:rsid w:val="00176D78"/>
    <w:rsid w:val="0017740F"/>
    <w:rsid w:val="001774B9"/>
    <w:rsid w:val="0017756C"/>
    <w:rsid w:val="00177AC1"/>
    <w:rsid w:val="00177B6A"/>
    <w:rsid w:val="001814F2"/>
    <w:rsid w:val="00182479"/>
    <w:rsid w:val="00182E4B"/>
    <w:rsid w:val="00186697"/>
    <w:rsid w:val="00187E64"/>
    <w:rsid w:val="00190A52"/>
    <w:rsid w:val="00190D02"/>
    <w:rsid w:val="00192A1F"/>
    <w:rsid w:val="00192BFC"/>
    <w:rsid w:val="00192D02"/>
    <w:rsid w:val="00193F56"/>
    <w:rsid w:val="0019576F"/>
    <w:rsid w:val="001970D2"/>
    <w:rsid w:val="001A1C8D"/>
    <w:rsid w:val="001A1ED2"/>
    <w:rsid w:val="001A2560"/>
    <w:rsid w:val="001A2C5F"/>
    <w:rsid w:val="001A4C00"/>
    <w:rsid w:val="001A4F92"/>
    <w:rsid w:val="001A5D09"/>
    <w:rsid w:val="001A6063"/>
    <w:rsid w:val="001A66D0"/>
    <w:rsid w:val="001A6895"/>
    <w:rsid w:val="001B174C"/>
    <w:rsid w:val="001B28C6"/>
    <w:rsid w:val="001B479D"/>
    <w:rsid w:val="001B4CFE"/>
    <w:rsid w:val="001B591C"/>
    <w:rsid w:val="001B6A2E"/>
    <w:rsid w:val="001B6AE9"/>
    <w:rsid w:val="001B728A"/>
    <w:rsid w:val="001B750E"/>
    <w:rsid w:val="001C00A5"/>
    <w:rsid w:val="001C0FBE"/>
    <w:rsid w:val="001C1755"/>
    <w:rsid w:val="001C19F1"/>
    <w:rsid w:val="001C3F19"/>
    <w:rsid w:val="001C7807"/>
    <w:rsid w:val="001D00A7"/>
    <w:rsid w:val="001D0B10"/>
    <w:rsid w:val="001D152B"/>
    <w:rsid w:val="001D3485"/>
    <w:rsid w:val="001D4646"/>
    <w:rsid w:val="001D477E"/>
    <w:rsid w:val="001D4B7E"/>
    <w:rsid w:val="001D6AC0"/>
    <w:rsid w:val="001D6D42"/>
    <w:rsid w:val="001D7152"/>
    <w:rsid w:val="001E05D8"/>
    <w:rsid w:val="001E069C"/>
    <w:rsid w:val="001E0CFE"/>
    <w:rsid w:val="001E2705"/>
    <w:rsid w:val="001E31BF"/>
    <w:rsid w:val="001E34ED"/>
    <w:rsid w:val="001E46EC"/>
    <w:rsid w:val="001E4AE7"/>
    <w:rsid w:val="001F06F3"/>
    <w:rsid w:val="001F3CA9"/>
    <w:rsid w:val="001F45D4"/>
    <w:rsid w:val="001F4687"/>
    <w:rsid w:val="00200109"/>
    <w:rsid w:val="002007F6"/>
    <w:rsid w:val="00202AD7"/>
    <w:rsid w:val="00203E46"/>
    <w:rsid w:val="00204793"/>
    <w:rsid w:val="00205ACC"/>
    <w:rsid w:val="00205DC1"/>
    <w:rsid w:val="0020698A"/>
    <w:rsid w:val="00207438"/>
    <w:rsid w:val="0021082E"/>
    <w:rsid w:val="00213F9E"/>
    <w:rsid w:val="002147C1"/>
    <w:rsid w:val="00214BAC"/>
    <w:rsid w:val="00214D87"/>
    <w:rsid w:val="00214DAF"/>
    <w:rsid w:val="00215BB2"/>
    <w:rsid w:val="00216802"/>
    <w:rsid w:val="00216B1B"/>
    <w:rsid w:val="00220C3C"/>
    <w:rsid w:val="002213B2"/>
    <w:rsid w:val="00221F13"/>
    <w:rsid w:val="002223BD"/>
    <w:rsid w:val="002239F5"/>
    <w:rsid w:val="00224680"/>
    <w:rsid w:val="00225988"/>
    <w:rsid w:val="00226EEB"/>
    <w:rsid w:val="00231BF2"/>
    <w:rsid w:val="00231FB6"/>
    <w:rsid w:val="00233263"/>
    <w:rsid w:val="002346DE"/>
    <w:rsid w:val="00235677"/>
    <w:rsid w:val="0023689D"/>
    <w:rsid w:val="002378EA"/>
    <w:rsid w:val="00237D68"/>
    <w:rsid w:val="00237DD0"/>
    <w:rsid w:val="00240FD9"/>
    <w:rsid w:val="00243615"/>
    <w:rsid w:val="00244FE2"/>
    <w:rsid w:val="00247546"/>
    <w:rsid w:val="00247A86"/>
    <w:rsid w:val="00247D39"/>
    <w:rsid w:val="00247F5F"/>
    <w:rsid w:val="002508FC"/>
    <w:rsid w:val="00250D96"/>
    <w:rsid w:val="002516BF"/>
    <w:rsid w:val="00251C61"/>
    <w:rsid w:val="00257656"/>
    <w:rsid w:val="002609E7"/>
    <w:rsid w:val="00261A3D"/>
    <w:rsid w:val="00261C0A"/>
    <w:rsid w:val="00262201"/>
    <w:rsid w:val="00263102"/>
    <w:rsid w:val="0026320F"/>
    <w:rsid w:val="00263B82"/>
    <w:rsid w:val="002653A3"/>
    <w:rsid w:val="00265688"/>
    <w:rsid w:val="0026569A"/>
    <w:rsid w:val="00266223"/>
    <w:rsid w:val="00266831"/>
    <w:rsid w:val="00270E54"/>
    <w:rsid w:val="00271417"/>
    <w:rsid w:val="00272031"/>
    <w:rsid w:val="00273453"/>
    <w:rsid w:val="002738ED"/>
    <w:rsid w:val="00275B11"/>
    <w:rsid w:val="00276E1F"/>
    <w:rsid w:val="0027731E"/>
    <w:rsid w:val="00277ED7"/>
    <w:rsid w:val="00280516"/>
    <w:rsid w:val="00280D8B"/>
    <w:rsid w:val="002811F9"/>
    <w:rsid w:val="002819BD"/>
    <w:rsid w:val="00281E72"/>
    <w:rsid w:val="0028215C"/>
    <w:rsid w:val="00284BB0"/>
    <w:rsid w:val="0028660D"/>
    <w:rsid w:val="0028745A"/>
    <w:rsid w:val="00287996"/>
    <w:rsid w:val="00292AE2"/>
    <w:rsid w:val="0029533A"/>
    <w:rsid w:val="00296895"/>
    <w:rsid w:val="00297538"/>
    <w:rsid w:val="002A071F"/>
    <w:rsid w:val="002A12E3"/>
    <w:rsid w:val="002A15A0"/>
    <w:rsid w:val="002A3CBC"/>
    <w:rsid w:val="002A6D97"/>
    <w:rsid w:val="002A7836"/>
    <w:rsid w:val="002B0A59"/>
    <w:rsid w:val="002B17A5"/>
    <w:rsid w:val="002B2DC9"/>
    <w:rsid w:val="002B3110"/>
    <w:rsid w:val="002B40F9"/>
    <w:rsid w:val="002B6442"/>
    <w:rsid w:val="002B6B74"/>
    <w:rsid w:val="002B73E8"/>
    <w:rsid w:val="002B7750"/>
    <w:rsid w:val="002B78D0"/>
    <w:rsid w:val="002C219D"/>
    <w:rsid w:val="002C2B5B"/>
    <w:rsid w:val="002C2E92"/>
    <w:rsid w:val="002C36DC"/>
    <w:rsid w:val="002D0A8C"/>
    <w:rsid w:val="002D0ABC"/>
    <w:rsid w:val="002D0DEF"/>
    <w:rsid w:val="002D11CE"/>
    <w:rsid w:val="002D2779"/>
    <w:rsid w:val="002E0779"/>
    <w:rsid w:val="002E09EF"/>
    <w:rsid w:val="002E1BDD"/>
    <w:rsid w:val="002E1FCB"/>
    <w:rsid w:val="002E7514"/>
    <w:rsid w:val="002E7ADC"/>
    <w:rsid w:val="002E7B5A"/>
    <w:rsid w:val="002F1DE0"/>
    <w:rsid w:val="002F2D01"/>
    <w:rsid w:val="002F382D"/>
    <w:rsid w:val="002F3EE7"/>
    <w:rsid w:val="002F4AD8"/>
    <w:rsid w:val="002F4F23"/>
    <w:rsid w:val="002F7F63"/>
    <w:rsid w:val="00300B93"/>
    <w:rsid w:val="00300F35"/>
    <w:rsid w:val="0030389F"/>
    <w:rsid w:val="00305860"/>
    <w:rsid w:val="00306771"/>
    <w:rsid w:val="00307B87"/>
    <w:rsid w:val="00314033"/>
    <w:rsid w:val="00314F65"/>
    <w:rsid w:val="003150E7"/>
    <w:rsid w:val="0031519F"/>
    <w:rsid w:val="00316167"/>
    <w:rsid w:val="003167D5"/>
    <w:rsid w:val="0031684A"/>
    <w:rsid w:val="00317E30"/>
    <w:rsid w:val="003238FD"/>
    <w:rsid w:val="00324636"/>
    <w:rsid w:val="0032466E"/>
    <w:rsid w:val="003258EE"/>
    <w:rsid w:val="00325B2C"/>
    <w:rsid w:val="00330691"/>
    <w:rsid w:val="00330C68"/>
    <w:rsid w:val="00330CF6"/>
    <w:rsid w:val="00332D87"/>
    <w:rsid w:val="0033594E"/>
    <w:rsid w:val="00336ACA"/>
    <w:rsid w:val="00337C19"/>
    <w:rsid w:val="00337D24"/>
    <w:rsid w:val="003402BF"/>
    <w:rsid w:val="00340384"/>
    <w:rsid w:val="00341312"/>
    <w:rsid w:val="003422B4"/>
    <w:rsid w:val="003423AB"/>
    <w:rsid w:val="00342728"/>
    <w:rsid w:val="00343971"/>
    <w:rsid w:val="00343D48"/>
    <w:rsid w:val="00345C9B"/>
    <w:rsid w:val="00346ED5"/>
    <w:rsid w:val="0034727C"/>
    <w:rsid w:val="0034789A"/>
    <w:rsid w:val="003514A6"/>
    <w:rsid w:val="00351D04"/>
    <w:rsid w:val="00353F4D"/>
    <w:rsid w:val="00357AB0"/>
    <w:rsid w:val="00360CA3"/>
    <w:rsid w:val="00360FB0"/>
    <w:rsid w:val="0036142C"/>
    <w:rsid w:val="00362419"/>
    <w:rsid w:val="00362453"/>
    <w:rsid w:val="003632D6"/>
    <w:rsid w:val="00363F38"/>
    <w:rsid w:val="003643B2"/>
    <w:rsid w:val="0036461B"/>
    <w:rsid w:val="00364D18"/>
    <w:rsid w:val="00366131"/>
    <w:rsid w:val="003661FF"/>
    <w:rsid w:val="00370895"/>
    <w:rsid w:val="00370DA3"/>
    <w:rsid w:val="00371451"/>
    <w:rsid w:val="00375613"/>
    <w:rsid w:val="00380152"/>
    <w:rsid w:val="00380644"/>
    <w:rsid w:val="00380FC6"/>
    <w:rsid w:val="0038137C"/>
    <w:rsid w:val="00381C61"/>
    <w:rsid w:val="00381CF0"/>
    <w:rsid w:val="00382429"/>
    <w:rsid w:val="00384122"/>
    <w:rsid w:val="0038508B"/>
    <w:rsid w:val="003854FC"/>
    <w:rsid w:val="0038554C"/>
    <w:rsid w:val="003859BA"/>
    <w:rsid w:val="00387522"/>
    <w:rsid w:val="00387929"/>
    <w:rsid w:val="0039081A"/>
    <w:rsid w:val="00390DC5"/>
    <w:rsid w:val="00392962"/>
    <w:rsid w:val="00392AAA"/>
    <w:rsid w:val="00393685"/>
    <w:rsid w:val="003942D8"/>
    <w:rsid w:val="00394782"/>
    <w:rsid w:val="00394B01"/>
    <w:rsid w:val="00396379"/>
    <w:rsid w:val="00396EEF"/>
    <w:rsid w:val="00397310"/>
    <w:rsid w:val="00397D6F"/>
    <w:rsid w:val="003A0F97"/>
    <w:rsid w:val="003A1A3E"/>
    <w:rsid w:val="003A2F1D"/>
    <w:rsid w:val="003A3709"/>
    <w:rsid w:val="003A3B95"/>
    <w:rsid w:val="003A3CFC"/>
    <w:rsid w:val="003A3EE3"/>
    <w:rsid w:val="003A43EF"/>
    <w:rsid w:val="003A6ECD"/>
    <w:rsid w:val="003A6FE3"/>
    <w:rsid w:val="003B1AB6"/>
    <w:rsid w:val="003B1E04"/>
    <w:rsid w:val="003B2DF2"/>
    <w:rsid w:val="003B38EA"/>
    <w:rsid w:val="003B5B3A"/>
    <w:rsid w:val="003B6687"/>
    <w:rsid w:val="003C33AC"/>
    <w:rsid w:val="003C3E15"/>
    <w:rsid w:val="003C463F"/>
    <w:rsid w:val="003C54B8"/>
    <w:rsid w:val="003C567D"/>
    <w:rsid w:val="003C5CAE"/>
    <w:rsid w:val="003C7ECB"/>
    <w:rsid w:val="003D08FA"/>
    <w:rsid w:val="003D2404"/>
    <w:rsid w:val="003D26B8"/>
    <w:rsid w:val="003D2EEB"/>
    <w:rsid w:val="003D32FE"/>
    <w:rsid w:val="003D4C03"/>
    <w:rsid w:val="003D58C7"/>
    <w:rsid w:val="003D75CF"/>
    <w:rsid w:val="003D7ED6"/>
    <w:rsid w:val="003D7F68"/>
    <w:rsid w:val="003E23BB"/>
    <w:rsid w:val="003E3D22"/>
    <w:rsid w:val="003E6359"/>
    <w:rsid w:val="003E6AAE"/>
    <w:rsid w:val="003E765D"/>
    <w:rsid w:val="003F04F9"/>
    <w:rsid w:val="003F3A8D"/>
    <w:rsid w:val="003F4B9B"/>
    <w:rsid w:val="003F5C16"/>
    <w:rsid w:val="003F6A78"/>
    <w:rsid w:val="004002DB"/>
    <w:rsid w:val="00400A7C"/>
    <w:rsid w:val="0040120D"/>
    <w:rsid w:val="00401AF1"/>
    <w:rsid w:val="00401F5C"/>
    <w:rsid w:val="00404934"/>
    <w:rsid w:val="0040681E"/>
    <w:rsid w:val="00407422"/>
    <w:rsid w:val="004111AB"/>
    <w:rsid w:val="0041211B"/>
    <w:rsid w:val="00412BF0"/>
    <w:rsid w:val="004141C1"/>
    <w:rsid w:val="0041481D"/>
    <w:rsid w:val="00414BE6"/>
    <w:rsid w:val="00415B8F"/>
    <w:rsid w:val="00415CB9"/>
    <w:rsid w:val="004210C0"/>
    <w:rsid w:val="00422E14"/>
    <w:rsid w:val="00423C4C"/>
    <w:rsid w:val="0042414D"/>
    <w:rsid w:val="004241DF"/>
    <w:rsid w:val="00424D6B"/>
    <w:rsid w:val="00430950"/>
    <w:rsid w:val="00430DFE"/>
    <w:rsid w:val="004317F1"/>
    <w:rsid w:val="00432F09"/>
    <w:rsid w:val="00433795"/>
    <w:rsid w:val="004340F3"/>
    <w:rsid w:val="00435A88"/>
    <w:rsid w:val="00441FCF"/>
    <w:rsid w:val="00444045"/>
    <w:rsid w:val="0044411C"/>
    <w:rsid w:val="0044480E"/>
    <w:rsid w:val="00445720"/>
    <w:rsid w:val="004459F1"/>
    <w:rsid w:val="004461B1"/>
    <w:rsid w:val="00450F93"/>
    <w:rsid w:val="004510A6"/>
    <w:rsid w:val="004524B4"/>
    <w:rsid w:val="00452EAE"/>
    <w:rsid w:val="00453646"/>
    <w:rsid w:val="00453B1E"/>
    <w:rsid w:val="00453EB5"/>
    <w:rsid w:val="00455D5C"/>
    <w:rsid w:val="00456A65"/>
    <w:rsid w:val="0045730A"/>
    <w:rsid w:val="004574CB"/>
    <w:rsid w:val="0046027E"/>
    <w:rsid w:val="004610CF"/>
    <w:rsid w:val="004627EC"/>
    <w:rsid w:val="004646FC"/>
    <w:rsid w:val="00464A45"/>
    <w:rsid w:val="00464A89"/>
    <w:rsid w:val="00464BB7"/>
    <w:rsid w:val="00464DA1"/>
    <w:rsid w:val="00464FEA"/>
    <w:rsid w:val="00465151"/>
    <w:rsid w:val="00466C71"/>
    <w:rsid w:val="00467934"/>
    <w:rsid w:val="00467E87"/>
    <w:rsid w:val="00471676"/>
    <w:rsid w:val="004726A5"/>
    <w:rsid w:val="00473A80"/>
    <w:rsid w:val="004746F5"/>
    <w:rsid w:val="00476F6F"/>
    <w:rsid w:val="004770F3"/>
    <w:rsid w:val="00477256"/>
    <w:rsid w:val="00480ED1"/>
    <w:rsid w:val="00481D90"/>
    <w:rsid w:val="004820AB"/>
    <w:rsid w:val="004823C7"/>
    <w:rsid w:val="004855F2"/>
    <w:rsid w:val="004868AE"/>
    <w:rsid w:val="00486A5F"/>
    <w:rsid w:val="00487A71"/>
    <w:rsid w:val="00487A8F"/>
    <w:rsid w:val="0049007F"/>
    <w:rsid w:val="00490162"/>
    <w:rsid w:val="00490B19"/>
    <w:rsid w:val="00490F1D"/>
    <w:rsid w:val="00491113"/>
    <w:rsid w:val="0049201F"/>
    <w:rsid w:val="004926A6"/>
    <w:rsid w:val="00492E5B"/>
    <w:rsid w:val="00493567"/>
    <w:rsid w:val="0049441B"/>
    <w:rsid w:val="0049463A"/>
    <w:rsid w:val="0049518A"/>
    <w:rsid w:val="00495A6B"/>
    <w:rsid w:val="00497B81"/>
    <w:rsid w:val="004A1945"/>
    <w:rsid w:val="004A28FC"/>
    <w:rsid w:val="004A29DB"/>
    <w:rsid w:val="004A3096"/>
    <w:rsid w:val="004A3A31"/>
    <w:rsid w:val="004A67D2"/>
    <w:rsid w:val="004A71C6"/>
    <w:rsid w:val="004A7FDC"/>
    <w:rsid w:val="004B0CD4"/>
    <w:rsid w:val="004B1FE3"/>
    <w:rsid w:val="004B2123"/>
    <w:rsid w:val="004B2A42"/>
    <w:rsid w:val="004B3501"/>
    <w:rsid w:val="004B351E"/>
    <w:rsid w:val="004B37EA"/>
    <w:rsid w:val="004B67FD"/>
    <w:rsid w:val="004B693D"/>
    <w:rsid w:val="004B6CFF"/>
    <w:rsid w:val="004B75D2"/>
    <w:rsid w:val="004C05D7"/>
    <w:rsid w:val="004C2243"/>
    <w:rsid w:val="004C2350"/>
    <w:rsid w:val="004C4AB7"/>
    <w:rsid w:val="004C72CE"/>
    <w:rsid w:val="004C7468"/>
    <w:rsid w:val="004D130D"/>
    <w:rsid w:val="004D1793"/>
    <w:rsid w:val="004D1AC9"/>
    <w:rsid w:val="004D1E3B"/>
    <w:rsid w:val="004D43D2"/>
    <w:rsid w:val="004D464E"/>
    <w:rsid w:val="004D51A4"/>
    <w:rsid w:val="004D5AE1"/>
    <w:rsid w:val="004D692E"/>
    <w:rsid w:val="004D6F53"/>
    <w:rsid w:val="004D72E4"/>
    <w:rsid w:val="004D7427"/>
    <w:rsid w:val="004D7959"/>
    <w:rsid w:val="004E36B2"/>
    <w:rsid w:val="004E37C8"/>
    <w:rsid w:val="004E4062"/>
    <w:rsid w:val="004E41D3"/>
    <w:rsid w:val="004E49F5"/>
    <w:rsid w:val="004E7284"/>
    <w:rsid w:val="004E739C"/>
    <w:rsid w:val="004F06CE"/>
    <w:rsid w:val="004F0B6E"/>
    <w:rsid w:val="004F11CF"/>
    <w:rsid w:val="004F25F7"/>
    <w:rsid w:val="004F3C91"/>
    <w:rsid w:val="004F403B"/>
    <w:rsid w:val="004F4810"/>
    <w:rsid w:val="004F5367"/>
    <w:rsid w:val="004F556C"/>
    <w:rsid w:val="004F57EA"/>
    <w:rsid w:val="004F5E1C"/>
    <w:rsid w:val="004F757C"/>
    <w:rsid w:val="004F7D6C"/>
    <w:rsid w:val="0050017F"/>
    <w:rsid w:val="00500B6A"/>
    <w:rsid w:val="00500C15"/>
    <w:rsid w:val="00500DAD"/>
    <w:rsid w:val="00502B79"/>
    <w:rsid w:val="00503018"/>
    <w:rsid w:val="005033C9"/>
    <w:rsid w:val="00503E26"/>
    <w:rsid w:val="005041CD"/>
    <w:rsid w:val="00506398"/>
    <w:rsid w:val="00506C38"/>
    <w:rsid w:val="00507609"/>
    <w:rsid w:val="0051095E"/>
    <w:rsid w:val="00510BF2"/>
    <w:rsid w:val="0051140C"/>
    <w:rsid w:val="005130C8"/>
    <w:rsid w:val="005134C1"/>
    <w:rsid w:val="00513A69"/>
    <w:rsid w:val="00513C9C"/>
    <w:rsid w:val="00514299"/>
    <w:rsid w:val="005149C0"/>
    <w:rsid w:val="00515190"/>
    <w:rsid w:val="00515743"/>
    <w:rsid w:val="005158B8"/>
    <w:rsid w:val="005162C7"/>
    <w:rsid w:val="00516F37"/>
    <w:rsid w:val="0052021F"/>
    <w:rsid w:val="005209F2"/>
    <w:rsid w:val="005210A2"/>
    <w:rsid w:val="00521FBE"/>
    <w:rsid w:val="00523638"/>
    <w:rsid w:val="00523ADA"/>
    <w:rsid w:val="005247DB"/>
    <w:rsid w:val="00526388"/>
    <w:rsid w:val="00526791"/>
    <w:rsid w:val="00526BD1"/>
    <w:rsid w:val="00530471"/>
    <w:rsid w:val="005306EF"/>
    <w:rsid w:val="00534D58"/>
    <w:rsid w:val="00534E00"/>
    <w:rsid w:val="0053503C"/>
    <w:rsid w:val="00535725"/>
    <w:rsid w:val="0053690A"/>
    <w:rsid w:val="00537B8E"/>
    <w:rsid w:val="00541131"/>
    <w:rsid w:val="0054409E"/>
    <w:rsid w:val="0054463C"/>
    <w:rsid w:val="00545BC5"/>
    <w:rsid w:val="00546966"/>
    <w:rsid w:val="005469DA"/>
    <w:rsid w:val="005504FA"/>
    <w:rsid w:val="00551D41"/>
    <w:rsid w:val="00553E82"/>
    <w:rsid w:val="0055441F"/>
    <w:rsid w:val="00554628"/>
    <w:rsid w:val="0055673B"/>
    <w:rsid w:val="00556A23"/>
    <w:rsid w:val="0056134A"/>
    <w:rsid w:val="00562CE9"/>
    <w:rsid w:val="00563E5A"/>
    <w:rsid w:val="0056456B"/>
    <w:rsid w:val="00566D38"/>
    <w:rsid w:val="0056716C"/>
    <w:rsid w:val="00567259"/>
    <w:rsid w:val="00570441"/>
    <w:rsid w:val="00570B3F"/>
    <w:rsid w:val="0057166C"/>
    <w:rsid w:val="005719D2"/>
    <w:rsid w:val="00572A4C"/>
    <w:rsid w:val="00573A74"/>
    <w:rsid w:val="00574560"/>
    <w:rsid w:val="005750B6"/>
    <w:rsid w:val="00575105"/>
    <w:rsid w:val="00576021"/>
    <w:rsid w:val="005763FF"/>
    <w:rsid w:val="00577143"/>
    <w:rsid w:val="005808FD"/>
    <w:rsid w:val="00581B5A"/>
    <w:rsid w:val="00581C6A"/>
    <w:rsid w:val="00582382"/>
    <w:rsid w:val="00582590"/>
    <w:rsid w:val="00583107"/>
    <w:rsid w:val="00585248"/>
    <w:rsid w:val="0058539E"/>
    <w:rsid w:val="0058563D"/>
    <w:rsid w:val="00585F3F"/>
    <w:rsid w:val="00586830"/>
    <w:rsid w:val="00587206"/>
    <w:rsid w:val="00587AD2"/>
    <w:rsid w:val="00590189"/>
    <w:rsid w:val="00590207"/>
    <w:rsid w:val="005913F2"/>
    <w:rsid w:val="00594D35"/>
    <w:rsid w:val="00594F7D"/>
    <w:rsid w:val="00594FCD"/>
    <w:rsid w:val="005954BA"/>
    <w:rsid w:val="00595D5F"/>
    <w:rsid w:val="005A0FF4"/>
    <w:rsid w:val="005A1ACC"/>
    <w:rsid w:val="005A28F3"/>
    <w:rsid w:val="005A2A22"/>
    <w:rsid w:val="005A658E"/>
    <w:rsid w:val="005A6A58"/>
    <w:rsid w:val="005B2F2E"/>
    <w:rsid w:val="005B5B74"/>
    <w:rsid w:val="005B70C8"/>
    <w:rsid w:val="005B7BC0"/>
    <w:rsid w:val="005B7DCB"/>
    <w:rsid w:val="005C0D32"/>
    <w:rsid w:val="005C1CD9"/>
    <w:rsid w:val="005C2A12"/>
    <w:rsid w:val="005C2CB6"/>
    <w:rsid w:val="005C404D"/>
    <w:rsid w:val="005C4E4D"/>
    <w:rsid w:val="005C540D"/>
    <w:rsid w:val="005C7AB9"/>
    <w:rsid w:val="005C7FB1"/>
    <w:rsid w:val="005D1487"/>
    <w:rsid w:val="005D1B26"/>
    <w:rsid w:val="005D3571"/>
    <w:rsid w:val="005D3A9B"/>
    <w:rsid w:val="005D54A5"/>
    <w:rsid w:val="005D5BA4"/>
    <w:rsid w:val="005D6FD4"/>
    <w:rsid w:val="005D7420"/>
    <w:rsid w:val="005D7F54"/>
    <w:rsid w:val="005E0625"/>
    <w:rsid w:val="005E3882"/>
    <w:rsid w:val="005E3C71"/>
    <w:rsid w:val="005E4206"/>
    <w:rsid w:val="005E529E"/>
    <w:rsid w:val="005E770F"/>
    <w:rsid w:val="005F0239"/>
    <w:rsid w:val="005F06C8"/>
    <w:rsid w:val="005F1122"/>
    <w:rsid w:val="005F13C6"/>
    <w:rsid w:val="005F2671"/>
    <w:rsid w:val="005F2FC4"/>
    <w:rsid w:val="005F357D"/>
    <w:rsid w:val="005F3FD2"/>
    <w:rsid w:val="005F5014"/>
    <w:rsid w:val="005F5BA4"/>
    <w:rsid w:val="005F7B21"/>
    <w:rsid w:val="005F7FB3"/>
    <w:rsid w:val="00600594"/>
    <w:rsid w:val="006007A5"/>
    <w:rsid w:val="0060263A"/>
    <w:rsid w:val="006026F5"/>
    <w:rsid w:val="00602D1C"/>
    <w:rsid w:val="00603120"/>
    <w:rsid w:val="00603176"/>
    <w:rsid w:val="00603AC4"/>
    <w:rsid w:val="00603FD6"/>
    <w:rsid w:val="00604A04"/>
    <w:rsid w:val="00606D6C"/>
    <w:rsid w:val="00607CFA"/>
    <w:rsid w:val="00607D08"/>
    <w:rsid w:val="00610546"/>
    <w:rsid w:val="0061102A"/>
    <w:rsid w:val="00611AF0"/>
    <w:rsid w:val="006120D9"/>
    <w:rsid w:val="00612F8E"/>
    <w:rsid w:val="0061333E"/>
    <w:rsid w:val="00613DFE"/>
    <w:rsid w:val="0061434F"/>
    <w:rsid w:val="006146BD"/>
    <w:rsid w:val="00614BEB"/>
    <w:rsid w:val="00615F3D"/>
    <w:rsid w:val="00616D2C"/>
    <w:rsid w:val="00617F35"/>
    <w:rsid w:val="00620B45"/>
    <w:rsid w:val="0062200E"/>
    <w:rsid w:val="00624F4A"/>
    <w:rsid w:val="00626189"/>
    <w:rsid w:val="006263B6"/>
    <w:rsid w:val="0062700A"/>
    <w:rsid w:val="006270E3"/>
    <w:rsid w:val="00627894"/>
    <w:rsid w:val="00630B4F"/>
    <w:rsid w:val="00630DA4"/>
    <w:rsid w:val="00632CF4"/>
    <w:rsid w:val="00634979"/>
    <w:rsid w:val="00634B1C"/>
    <w:rsid w:val="0063592A"/>
    <w:rsid w:val="006373B1"/>
    <w:rsid w:val="0064039F"/>
    <w:rsid w:val="00640A10"/>
    <w:rsid w:val="00642A7D"/>
    <w:rsid w:val="00643EAF"/>
    <w:rsid w:val="006455E5"/>
    <w:rsid w:val="00646006"/>
    <w:rsid w:val="00646E92"/>
    <w:rsid w:val="0064747F"/>
    <w:rsid w:val="00650424"/>
    <w:rsid w:val="00650488"/>
    <w:rsid w:val="00651452"/>
    <w:rsid w:val="00651DD7"/>
    <w:rsid w:val="0065206E"/>
    <w:rsid w:val="006533F4"/>
    <w:rsid w:val="0065358E"/>
    <w:rsid w:val="0065395C"/>
    <w:rsid w:val="00654ACD"/>
    <w:rsid w:val="00655C43"/>
    <w:rsid w:val="006563B6"/>
    <w:rsid w:val="00657DF1"/>
    <w:rsid w:val="00660CA9"/>
    <w:rsid w:val="00661736"/>
    <w:rsid w:val="00661C95"/>
    <w:rsid w:val="00662C99"/>
    <w:rsid w:val="00663469"/>
    <w:rsid w:val="0066409F"/>
    <w:rsid w:val="00666726"/>
    <w:rsid w:val="00666F3F"/>
    <w:rsid w:val="0066771E"/>
    <w:rsid w:val="0067264B"/>
    <w:rsid w:val="006731CB"/>
    <w:rsid w:val="00673437"/>
    <w:rsid w:val="006735D7"/>
    <w:rsid w:val="00673CB8"/>
    <w:rsid w:val="00680E8E"/>
    <w:rsid w:val="006833A5"/>
    <w:rsid w:val="00686633"/>
    <w:rsid w:val="006876CA"/>
    <w:rsid w:val="00687B4F"/>
    <w:rsid w:val="006916D8"/>
    <w:rsid w:val="0069268E"/>
    <w:rsid w:val="00693F4E"/>
    <w:rsid w:val="00695CE1"/>
    <w:rsid w:val="00696FBF"/>
    <w:rsid w:val="00697E86"/>
    <w:rsid w:val="006A1E98"/>
    <w:rsid w:val="006A2317"/>
    <w:rsid w:val="006A2349"/>
    <w:rsid w:val="006A30DA"/>
    <w:rsid w:val="006A31A5"/>
    <w:rsid w:val="006A3B95"/>
    <w:rsid w:val="006A3D5B"/>
    <w:rsid w:val="006A3D8B"/>
    <w:rsid w:val="006A47FB"/>
    <w:rsid w:val="006A59E0"/>
    <w:rsid w:val="006A70CF"/>
    <w:rsid w:val="006A7E2C"/>
    <w:rsid w:val="006B0958"/>
    <w:rsid w:val="006B0B37"/>
    <w:rsid w:val="006B42EA"/>
    <w:rsid w:val="006B47FD"/>
    <w:rsid w:val="006B4EDE"/>
    <w:rsid w:val="006B5009"/>
    <w:rsid w:val="006B5102"/>
    <w:rsid w:val="006B537A"/>
    <w:rsid w:val="006B6613"/>
    <w:rsid w:val="006C0AAD"/>
    <w:rsid w:val="006C1180"/>
    <w:rsid w:val="006C2745"/>
    <w:rsid w:val="006C2BBC"/>
    <w:rsid w:val="006C2CE5"/>
    <w:rsid w:val="006C3645"/>
    <w:rsid w:val="006C4193"/>
    <w:rsid w:val="006C461B"/>
    <w:rsid w:val="006C731B"/>
    <w:rsid w:val="006D0D08"/>
    <w:rsid w:val="006D285C"/>
    <w:rsid w:val="006D30FF"/>
    <w:rsid w:val="006D3117"/>
    <w:rsid w:val="006D4A02"/>
    <w:rsid w:val="006D6202"/>
    <w:rsid w:val="006E02FC"/>
    <w:rsid w:val="006E031F"/>
    <w:rsid w:val="006E1AA6"/>
    <w:rsid w:val="006E1C09"/>
    <w:rsid w:val="006E341F"/>
    <w:rsid w:val="006E397D"/>
    <w:rsid w:val="006E3E7F"/>
    <w:rsid w:val="006E3EBA"/>
    <w:rsid w:val="006E428C"/>
    <w:rsid w:val="006E4FD2"/>
    <w:rsid w:val="006E610F"/>
    <w:rsid w:val="006E6AAC"/>
    <w:rsid w:val="006E6BC1"/>
    <w:rsid w:val="006E7C71"/>
    <w:rsid w:val="006E7CE2"/>
    <w:rsid w:val="006F4D01"/>
    <w:rsid w:val="006F5E1F"/>
    <w:rsid w:val="006F6504"/>
    <w:rsid w:val="00700D23"/>
    <w:rsid w:val="00701291"/>
    <w:rsid w:val="00703A34"/>
    <w:rsid w:val="0070403B"/>
    <w:rsid w:val="00704FFC"/>
    <w:rsid w:val="007061F2"/>
    <w:rsid w:val="007063EE"/>
    <w:rsid w:val="00707CA2"/>
    <w:rsid w:val="007101FA"/>
    <w:rsid w:val="007108EB"/>
    <w:rsid w:val="00710D99"/>
    <w:rsid w:val="00710F43"/>
    <w:rsid w:val="0071200D"/>
    <w:rsid w:val="00713AEA"/>
    <w:rsid w:val="00713FA4"/>
    <w:rsid w:val="00716469"/>
    <w:rsid w:val="00716C5E"/>
    <w:rsid w:val="00716EB4"/>
    <w:rsid w:val="00717492"/>
    <w:rsid w:val="007208CD"/>
    <w:rsid w:val="00724101"/>
    <w:rsid w:val="00724AF9"/>
    <w:rsid w:val="00725D4D"/>
    <w:rsid w:val="00727960"/>
    <w:rsid w:val="0073008D"/>
    <w:rsid w:val="007309C2"/>
    <w:rsid w:val="007312ED"/>
    <w:rsid w:val="007322DC"/>
    <w:rsid w:val="00735EE6"/>
    <w:rsid w:val="00736874"/>
    <w:rsid w:val="007376DD"/>
    <w:rsid w:val="007404F9"/>
    <w:rsid w:val="00740687"/>
    <w:rsid w:val="00741E03"/>
    <w:rsid w:val="007421FA"/>
    <w:rsid w:val="0074268E"/>
    <w:rsid w:val="007442CE"/>
    <w:rsid w:val="00745F2F"/>
    <w:rsid w:val="00747649"/>
    <w:rsid w:val="00747AAB"/>
    <w:rsid w:val="0075098C"/>
    <w:rsid w:val="00751C45"/>
    <w:rsid w:val="007522B5"/>
    <w:rsid w:val="007544DD"/>
    <w:rsid w:val="007552D2"/>
    <w:rsid w:val="00755791"/>
    <w:rsid w:val="007559F7"/>
    <w:rsid w:val="00756498"/>
    <w:rsid w:val="00757D93"/>
    <w:rsid w:val="007602A2"/>
    <w:rsid w:val="0076083D"/>
    <w:rsid w:val="00761531"/>
    <w:rsid w:val="00761FF2"/>
    <w:rsid w:val="007636B3"/>
    <w:rsid w:val="00763FD0"/>
    <w:rsid w:val="0076571E"/>
    <w:rsid w:val="007657BF"/>
    <w:rsid w:val="00766233"/>
    <w:rsid w:val="00770E23"/>
    <w:rsid w:val="00770FA4"/>
    <w:rsid w:val="00772BD9"/>
    <w:rsid w:val="00772BFB"/>
    <w:rsid w:val="00772DB1"/>
    <w:rsid w:val="00774484"/>
    <w:rsid w:val="007744C6"/>
    <w:rsid w:val="007748EF"/>
    <w:rsid w:val="0077768F"/>
    <w:rsid w:val="007779BC"/>
    <w:rsid w:val="007843F0"/>
    <w:rsid w:val="007853D9"/>
    <w:rsid w:val="00786240"/>
    <w:rsid w:val="0078667D"/>
    <w:rsid w:val="0078671F"/>
    <w:rsid w:val="00791839"/>
    <w:rsid w:val="0079210F"/>
    <w:rsid w:val="007935E7"/>
    <w:rsid w:val="007940FE"/>
    <w:rsid w:val="00794AA7"/>
    <w:rsid w:val="00796CBF"/>
    <w:rsid w:val="00797484"/>
    <w:rsid w:val="00797524"/>
    <w:rsid w:val="00797F4F"/>
    <w:rsid w:val="007A2003"/>
    <w:rsid w:val="007A2513"/>
    <w:rsid w:val="007A26C2"/>
    <w:rsid w:val="007A2EE0"/>
    <w:rsid w:val="007A38B2"/>
    <w:rsid w:val="007A3917"/>
    <w:rsid w:val="007A42B8"/>
    <w:rsid w:val="007A4C4E"/>
    <w:rsid w:val="007A5235"/>
    <w:rsid w:val="007A7D4C"/>
    <w:rsid w:val="007B22AF"/>
    <w:rsid w:val="007B33E7"/>
    <w:rsid w:val="007B431E"/>
    <w:rsid w:val="007B4F2B"/>
    <w:rsid w:val="007B507E"/>
    <w:rsid w:val="007B56B9"/>
    <w:rsid w:val="007B6454"/>
    <w:rsid w:val="007B69CB"/>
    <w:rsid w:val="007B6A65"/>
    <w:rsid w:val="007B6E0F"/>
    <w:rsid w:val="007C0468"/>
    <w:rsid w:val="007C12C6"/>
    <w:rsid w:val="007C1AAB"/>
    <w:rsid w:val="007C2D14"/>
    <w:rsid w:val="007C2DCF"/>
    <w:rsid w:val="007C365A"/>
    <w:rsid w:val="007C3BC7"/>
    <w:rsid w:val="007C5EDB"/>
    <w:rsid w:val="007C6CE1"/>
    <w:rsid w:val="007C6DC1"/>
    <w:rsid w:val="007C73E0"/>
    <w:rsid w:val="007D08C0"/>
    <w:rsid w:val="007D34B6"/>
    <w:rsid w:val="007D3507"/>
    <w:rsid w:val="007D3888"/>
    <w:rsid w:val="007D3D6E"/>
    <w:rsid w:val="007D421B"/>
    <w:rsid w:val="007D4232"/>
    <w:rsid w:val="007D47B5"/>
    <w:rsid w:val="007D675F"/>
    <w:rsid w:val="007D6D98"/>
    <w:rsid w:val="007D6F4B"/>
    <w:rsid w:val="007E16F1"/>
    <w:rsid w:val="007E1A02"/>
    <w:rsid w:val="007E4909"/>
    <w:rsid w:val="007E505C"/>
    <w:rsid w:val="007E5C27"/>
    <w:rsid w:val="007E6A80"/>
    <w:rsid w:val="007E7E8B"/>
    <w:rsid w:val="007F0330"/>
    <w:rsid w:val="007F0A6D"/>
    <w:rsid w:val="007F0DD8"/>
    <w:rsid w:val="007F1399"/>
    <w:rsid w:val="007F254F"/>
    <w:rsid w:val="007F2B10"/>
    <w:rsid w:val="007F38C4"/>
    <w:rsid w:val="007F474D"/>
    <w:rsid w:val="007F590A"/>
    <w:rsid w:val="007F5B38"/>
    <w:rsid w:val="007F6820"/>
    <w:rsid w:val="00801C5D"/>
    <w:rsid w:val="00802331"/>
    <w:rsid w:val="00802A48"/>
    <w:rsid w:val="00803E42"/>
    <w:rsid w:val="00804B17"/>
    <w:rsid w:val="00805417"/>
    <w:rsid w:val="008057D5"/>
    <w:rsid w:val="00813008"/>
    <w:rsid w:val="00815834"/>
    <w:rsid w:val="0081694C"/>
    <w:rsid w:val="0082060F"/>
    <w:rsid w:val="008209C5"/>
    <w:rsid w:val="00821527"/>
    <w:rsid w:val="0082283E"/>
    <w:rsid w:val="008234A3"/>
    <w:rsid w:val="008238BE"/>
    <w:rsid w:val="00823E4F"/>
    <w:rsid w:val="0082597C"/>
    <w:rsid w:val="00827652"/>
    <w:rsid w:val="008277B2"/>
    <w:rsid w:val="00830721"/>
    <w:rsid w:val="008318BE"/>
    <w:rsid w:val="00831C27"/>
    <w:rsid w:val="00832E8F"/>
    <w:rsid w:val="0083354B"/>
    <w:rsid w:val="00834663"/>
    <w:rsid w:val="00834706"/>
    <w:rsid w:val="0083595C"/>
    <w:rsid w:val="008365C4"/>
    <w:rsid w:val="00837B3A"/>
    <w:rsid w:val="008400EC"/>
    <w:rsid w:val="008418EC"/>
    <w:rsid w:val="00841BB9"/>
    <w:rsid w:val="00842870"/>
    <w:rsid w:val="00843994"/>
    <w:rsid w:val="00844183"/>
    <w:rsid w:val="008468BA"/>
    <w:rsid w:val="00846A65"/>
    <w:rsid w:val="00846F13"/>
    <w:rsid w:val="00850DD6"/>
    <w:rsid w:val="008514F6"/>
    <w:rsid w:val="00852492"/>
    <w:rsid w:val="0085288E"/>
    <w:rsid w:val="008537FE"/>
    <w:rsid w:val="00853DAD"/>
    <w:rsid w:val="0085418B"/>
    <w:rsid w:val="008544B3"/>
    <w:rsid w:val="00855764"/>
    <w:rsid w:val="0085589B"/>
    <w:rsid w:val="00855918"/>
    <w:rsid w:val="00855A5D"/>
    <w:rsid w:val="00856302"/>
    <w:rsid w:val="00856AA6"/>
    <w:rsid w:val="008578F1"/>
    <w:rsid w:val="00857C67"/>
    <w:rsid w:val="00857D4D"/>
    <w:rsid w:val="00860209"/>
    <w:rsid w:val="0086062D"/>
    <w:rsid w:val="008606F7"/>
    <w:rsid w:val="00861798"/>
    <w:rsid w:val="00861EA8"/>
    <w:rsid w:val="00862900"/>
    <w:rsid w:val="00863CF6"/>
    <w:rsid w:val="008646A6"/>
    <w:rsid w:val="0086495B"/>
    <w:rsid w:val="0086667F"/>
    <w:rsid w:val="00867809"/>
    <w:rsid w:val="0087052D"/>
    <w:rsid w:val="00871845"/>
    <w:rsid w:val="00872806"/>
    <w:rsid w:val="008737F3"/>
    <w:rsid w:val="00874003"/>
    <w:rsid w:val="00875382"/>
    <w:rsid w:val="00875A48"/>
    <w:rsid w:val="00877A20"/>
    <w:rsid w:val="00877BDA"/>
    <w:rsid w:val="00880085"/>
    <w:rsid w:val="00881F37"/>
    <w:rsid w:val="0088508F"/>
    <w:rsid w:val="00885314"/>
    <w:rsid w:val="00885957"/>
    <w:rsid w:val="00885FF0"/>
    <w:rsid w:val="008861E7"/>
    <w:rsid w:val="00886613"/>
    <w:rsid w:val="008872A2"/>
    <w:rsid w:val="00887B29"/>
    <w:rsid w:val="008902C2"/>
    <w:rsid w:val="00891BDB"/>
    <w:rsid w:val="00892D25"/>
    <w:rsid w:val="0089300E"/>
    <w:rsid w:val="00893E7F"/>
    <w:rsid w:val="008941D1"/>
    <w:rsid w:val="00894AEA"/>
    <w:rsid w:val="00894E31"/>
    <w:rsid w:val="00894F37"/>
    <w:rsid w:val="008978EB"/>
    <w:rsid w:val="008A1CD1"/>
    <w:rsid w:val="008A48F5"/>
    <w:rsid w:val="008A4AAF"/>
    <w:rsid w:val="008A59AC"/>
    <w:rsid w:val="008B0205"/>
    <w:rsid w:val="008B0364"/>
    <w:rsid w:val="008B0A34"/>
    <w:rsid w:val="008B1201"/>
    <w:rsid w:val="008B2210"/>
    <w:rsid w:val="008B2C72"/>
    <w:rsid w:val="008B519F"/>
    <w:rsid w:val="008B6770"/>
    <w:rsid w:val="008B6B92"/>
    <w:rsid w:val="008B7D23"/>
    <w:rsid w:val="008C0D7F"/>
    <w:rsid w:val="008C12C8"/>
    <w:rsid w:val="008C1A58"/>
    <w:rsid w:val="008C385A"/>
    <w:rsid w:val="008C568D"/>
    <w:rsid w:val="008D2AF0"/>
    <w:rsid w:val="008D36C8"/>
    <w:rsid w:val="008D4107"/>
    <w:rsid w:val="008D4D38"/>
    <w:rsid w:val="008D6495"/>
    <w:rsid w:val="008D6BC1"/>
    <w:rsid w:val="008E2718"/>
    <w:rsid w:val="008E2B5C"/>
    <w:rsid w:val="008E323F"/>
    <w:rsid w:val="008E4CAC"/>
    <w:rsid w:val="008E4D2B"/>
    <w:rsid w:val="008E66D2"/>
    <w:rsid w:val="008E7725"/>
    <w:rsid w:val="008E7735"/>
    <w:rsid w:val="008F08F2"/>
    <w:rsid w:val="008F1FE6"/>
    <w:rsid w:val="008F265A"/>
    <w:rsid w:val="008F33E6"/>
    <w:rsid w:val="008F3BAE"/>
    <w:rsid w:val="008F5599"/>
    <w:rsid w:val="008F7857"/>
    <w:rsid w:val="009003E8"/>
    <w:rsid w:val="00900A95"/>
    <w:rsid w:val="00901E11"/>
    <w:rsid w:val="0090281F"/>
    <w:rsid w:val="0090354C"/>
    <w:rsid w:val="00903936"/>
    <w:rsid w:val="00903BB2"/>
    <w:rsid w:val="00903DD5"/>
    <w:rsid w:val="00903E60"/>
    <w:rsid w:val="009046EF"/>
    <w:rsid w:val="009049F6"/>
    <w:rsid w:val="00905B77"/>
    <w:rsid w:val="00906722"/>
    <w:rsid w:val="009070D0"/>
    <w:rsid w:val="009075F1"/>
    <w:rsid w:val="0091032A"/>
    <w:rsid w:val="009130F6"/>
    <w:rsid w:val="00913254"/>
    <w:rsid w:val="00914BAA"/>
    <w:rsid w:val="00914CC1"/>
    <w:rsid w:val="00915167"/>
    <w:rsid w:val="009157A7"/>
    <w:rsid w:val="0091677B"/>
    <w:rsid w:val="009200F8"/>
    <w:rsid w:val="00920731"/>
    <w:rsid w:val="009219CF"/>
    <w:rsid w:val="0092338E"/>
    <w:rsid w:val="00923517"/>
    <w:rsid w:val="0092452B"/>
    <w:rsid w:val="0092724A"/>
    <w:rsid w:val="009309E4"/>
    <w:rsid w:val="0093152E"/>
    <w:rsid w:val="0093187D"/>
    <w:rsid w:val="00932F67"/>
    <w:rsid w:val="009330CF"/>
    <w:rsid w:val="00933473"/>
    <w:rsid w:val="00934B28"/>
    <w:rsid w:val="0093517D"/>
    <w:rsid w:val="00935BB3"/>
    <w:rsid w:val="009362C9"/>
    <w:rsid w:val="009378AA"/>
    <w:rsid w:val="00940214"/>
    <w:rsid w:val="00940370"/>
    <w:rsid w:val="00941290"/>
    <w:rsid w:val="0094167C"/>
    <w:rsid w:val="00943A84"/>
    <w:rsid w:val="00943DF3"/>
    <w:rsid w:val="00953CBA"/>
    <w:rsid w:val="009542A0"/>
    <w:rsid w:val="009547CA"/>
    <w:rsid w:val="00956AF2"/>
    <w:rsid w:val="009570D3"/>
    <w:rsid w:val="00957317"/>
    <w:rsid w:val="00957A6D"/>
    <w:rsid w:val="00960C1C"/>
    <w:rsid w:val="00962CBD"/>
    <w:rsid w:val="00962D60"/>
    <w:rsid w:val="0096318D"/>
    <w:rsid w:val="009633C3"/>
    <w:rsid w:val="009652BA"/>
    <w:rsid w:val="0096560E"/>
    <w:rsid w:val="00966CB4"/>
    <w:rsid w:val="00967E6F"/>
    <w:rsid w:val="00967F87"/>
    <w:rsid w:val="00970216"/>
    <w:rsid w:val="00971C72"/>
    <w:rsid w:val="0097269B"/>
    <w:rsid w:val="0097283D"/>
    <w:rsid w:val="00972DDE"/>
    <w:rsid w:val="0097302B"/>
    <w:rsid w:val="00976DA2"/>
    <w:rsid w:val="009772AE"/>
    <w:rsid w:val="00980173"/>
    <w:rsid w:val="00981EC4"/>
    <w:rsid w:val="009828B9"/>
    <w:rsid w:val="009833FE"/>
    <w:rsid w:val="0098391F"/>
    <w:rsid w:val="00984448"/>
    <w:rsid w:val="00984B83"/>
    <w:rsid w:val="0098569B"/>
    <w:rsid w:val="00986303"/>
    <w:rsid w:val="009866AE"/>
    <w:rsid w:val="009872BE"/>
    <w:rsid w:val="009874FC"/>
    <w:rsid w:val="00987B0E"/>
    <w:rsid w:val="0099107A"/>
    <w:rsid w:val="00992524"/>
    <w:rsid w:val="00992D8F"/>
    <w:rsid w:val="00994F3A"/>
    <w:rsid w:val="009959D7"/>
    <w:rsid w:val="00995D39"/>
    <w:rsid w:val="00995EEA"/>
    <w:rsid w:val="00996C26"/>
    <w:rsid w:val="00997B48"/>
    <w:rsid w:val="009A05FC"/>
    <w:rsid w:val="009A0687"/>
    <w:rsid w:val="009A2731"/>
    <w:rsid w:val="009A3368"/>
    <w:rsid w:val="009A3578"/>
    <w:rsid w:val="009A37A5"/>
    <w:rsid w:val="009A3C9E"/>
    <w:rsid w:val="009A3D72"/>
    <w:rsid w:val="009A3E00"/>
    <w:rsid w:val="009A7063"/>
    <w:rsid w:val="009B089F"/>
    <w:rsid w:val="009B266A"/>
    <w:rsid w:val="009B2B39"/>
    <w:rsid w:val="009B3A31"/>
    <w:rsid w:val="009B5402"/>
    <w:rsid w:val="009B6AAB"/>
    <w:rsid w:val="009B7268"/>
    <w:rsid w:val="009C0F96"/>
    <w:rsid w:val="009C1A46"/>
    <w:rsid w:val="009C291B"/>
    <w:rsid w:val="009C2B1E"/>
    <w:rsid w:val="009C36FB"/>
    <w:rsid w:val="009C3B02"/>
    <w:rsid w:val="009C457D"/>
    <w:rsid w:val="009C4D09"/>
    <w:rsid w:val="009C7C66"/>
    <w:rsid w:val="009D0E23"/>
    <w:rsid w:val="009D158D"/>
    <w:rsid w:val="009D1708"/>
    <w:rsid w:val="009D1724"/>
    <w:rsid w:val="009D2FCC"/>
    <w:rsid w:val="009D3880"/>
    <w:rsid w:val="009D40F1"/>
    <w:rsid w:val="009D4983"/>
    <w:rsid w:val="009D4BF2"/>
    <w:rsid w:val="009E04A6"/>
    <w:rsid w:val="009E0E45"/>
    <w:rsid w:val="009E2589"/>
    <w:rsid w:val="009E407B"/>
    <w:rsid w:val="009E41D6"/>
    <w:rsid w:val="009E7165"/>
    <w:rsid w:val="009E7898"/>
    <w:rsid w:val="009E7930"/>
    <w:rsid w:val="009E796D"/>
    <w:rsid w:val="009F116F"/>
    <w:rsid w:val="009F146F"/>
    <w:rsid w:val="009F1BF5"/>
    <w:rsid w:val="009F264D"/>
    <w:rsid w:val="009F3F52"/>
    <w:rsid w:val="009F42B2"/>
    <w:rsid w:val="009F4FC7"/>
    <w:rsid w:val="009F503C"/>
    <w:rsid w:val="009F68B8"/>
    <w:rsid w:val="00A0052C"/>
    <w:rsid w:val="00A02000"/>
    <w:rsid w:val="00A027E3"/>
    <w:rsid w:val="00A03563"/>
    <w:rsid w:val="00A03A19"/>
    <w:rsid w:val="00A03D64"/>
    <w:rsid w:val="00A052A6"/>
    <w:rsid w:val="00A05592"/>
    <w:rsid w:val="00A0643B"/>
    <w:rsid w:val="00A07432"/>
    <w:rsid w:val="00A07446"/>
    <w:rsid w:val="00A07559"/>
    <w:rsid w:val="00A0762A"/>
    <w:rsid w:val="00A10575"/>
    <w:rsid w:val="00A1067F"/>
    <w:rsid w:val="00A129D4"/>
    <w:rsid w:val="00A129DB"/>
    <w:rsid w:val="00A179E4"/>
    <w:rsid w:val="00A20586"/>
    <w:rsid w:val="00A21557"/>
    <w:rsid w:val="00A224FC"/>
    <w:rsid w:val="00A230C1"/>
    <w:rsid w:val="00A24ED8"/>
    <w:rsid w:val="00A274BD"/>
    <w:rsid w:val="00A301D9"/>
    <w:rsid w:val="00A31419"/>
    <w:rsid w:val="00A31C7D"/>
    <w:rsid w:val="00A3266D"/>
    <w:rsid w:val="00A342E7"/>
    <w:rsid w:val="00A34790"/>
    <w:rsid w:val="00A34800"/>
    <w:rsid w:val="00A36247"/>
    <w:rsid w:val="00A37A76"/>
    <w:rsid w:val="00A407F8"/>
    <w:rsid w:val="00A409CB"/>
    <w:rsid w:val="00A43B58"/>
    <w:rsid w:val="00A44C90"/>
    <w:rsid w:val="00A450A1"/>
    <w:rsid w:val="00A45ACC"/>
    <w:rsid w:val="00A45D3E"/>
    <w:rsid w:val="00A46504"/>
    <w:rsid w:val="00A4683A"/>
    <w:rsid w:val="00A47856"/>
    <w:rsid w:val="00A50EA4"/>
    <w:rsid w:val="00A51BC5"/>
    <w:rsid w:val="00A52858"/>
    <w:rsid w:val="00A5372E"/>
    <w:rsid w:val="00A561CB"/>
    <w:rsid w:val="00A60012"/>
    <w:rsid w:val="00A60F2C"/>
    <w:rsid w:val="00A6134A"/>
    <w:rsid w:val="00A617EE"/>
    <w:rsid w:val="00A61AE4"/>
    <w:rsid w:val="00A62F4F"/>
    <w:rsid w:val="00A642F1"/>
    <w:rsid w:val="00A65F3B"/>
    <w:rsid w:val="00A67161"/>
    <w:rsid w:val="00A70931"/>
    <w:rsid w:val="00A733F9"/>
    <w:rsid w:val="00A7616E"/>
    <w:rsid w:val="00A77136"/>
    <w:rsid w:val="00A77553"/>
    <w:rsid w:val="00A775B6"/>
    <w:rsid w:val="00A80116"/>
    <w:rsid w:val="00A82472"/>
    <w:rsid w:val="00A8382A"/>
    <w:rsid w:val="00A84C94"/>
    <w:rsid w:val="00A84FEF"/>
    <w:rsid w:val="00A8503E"/>
    <w:rsid w:val="00A853E3"/>
    <w:rsid w:val="00A856D0"/>
    <w:rsid w:val="00A85849"/>
    <w:rsid w:val="00A85D21"/>
    <w:rsid w:val="00A86FA1"/>
    <w:rsid w:val="00A91DF8"/>
    <w:rsid w:val="00A9299E"/>
    <w:rsid w:val="00A93068"/>
    <w:rsid w:val="00A934B9"/>
    <w:rsid w:val="00A94552"/>
    <w:rsid w:val="00A94EF8"/>
    <w:rsid w:val="00A975B5"/>
    <w:rsid w:val="00AA2943"/>
    <w:rsid w:val="00AA745D"/>
    <w:rsid w:val="00AB008C"/>
    <w:rsid w:val="00AB00BA"/>
    <w:rsid w:val="00AB0AB7"/>
    <w:rsid w:val="00AB2D63"/>
    <w:rsid w:val="00AB39C8"/>
    <w:rsid w:val="00AB456E"/>
    <w:rsid w:val="00AB5102"/>
    <w:rsid w:val="00AB6C79"/>
    <w:rsid w:val="00AB7A33"/>
    <w:rsid w:val="00AC016C"/>
    <w:rsid w:val="00AC0464"/>
    <w:rsid w:val="00AC3859"/>
    <w:rsid w:val="00AC5513"/>
    <w:rsid w:val="00AC5E9B"/>
    <w:rsid w:val="00AC743D"/>
    <w:rsid w:val="00AD1505"/>
    <w:rsid w:val="00AD1EA9"/>
    <w:rsid w:val="00AD21ED"/>
    <w:rsid w:val="00AD3665"/>
    <w:rsid w:val="00AD4738"/>
    <w:rsid w:val="00AD4C85"/>
    <w:rsid w:val="00AD52BB"/>
    <w:rsid w:val="00AD70C5"/>
    <w:rsid w:val="00AD71C4"/>
    <w:rsid w:val="00AE02DF"/>
    <w:rsid w:val="00AE04C8"/>
    <w:rsid w:val="00AE0C95"/>
    <w:rsid w:val="00AE13DB"/>
    <w:rsid w:val="00AE20E1"/>
    <w:rsid w:val="00AE3AA4"/>
    <w:rsid w:val="00AE56BE"/>
    <w:rsid w:val="00AF39D1"/>
    <w:rsid w:val="00AF5942"/>
    <w:rsid w:val="00AF658D"/>
    <w:rsid w:val="00AF66CA"/>
    <w:rsid w:val="00AF6730"/>
    <w:rsid w:val="00AF6C3A"/>
    <w:rsid w:val="00AF762B"/>
    <w:rsid w:val="00B00037"/>
    <w:rsid w:val="00B004E7"/>
    <w:rsid w:val="00B01164"/>
    <w:rsid w:val="00B0285B"/>
    <w:rsid w:val="00B0365F"/>
    <w:rsid w:val="00B05A48"/>
    <w:rsid w:val="00B06849"/>
    <w:rsid w:val="00B10FAB"/>
    <w:rsid w:val="00B11766"/>
    <w:rsid w:val="00B119E3"/>
    <w:rsid w:val="00B16B3E"/>
    <w:rsid w:val="00B17039"/>
    <w:rsid w:val="00B17315"/>
    <w:rsid w:val="00B1748F"/>
    <w:rsid w:val="00B20836"/>
    <w:rsid w:val="00B20E47"/>
    <w:rsid w:val="00B2231D"/>
    <w:rsid w:val="00B226E5"/>
    <w:rsid w:val="00B241DC"/>
    <w:rsid w:val="00B250D0"/>
    <w:rsid w:val="00B26317"/>
    <w:rsid w:val="00B26419"/>
    <w:rsid w:val="00B26D1E"/>
    <w:rsid w:val="00B274E1"/>
    <w:rsid w:val="00B278ED"/>
    <w:rsid w:val="00B27DB7"/>
    <w:rsid w:val="00B306DA"/>
    <w:rsid w:val="00B30BFE"/>
    <w:rsid w:val="00B311BE"/>
    <w:rsid w:val="00B340D2"/>
    <w:rsid w:val="00B34329"/>
    <w:rsid w:val="00B3444C"/>
    <w:rsid w:val="00B361C0"/>
    <w:rsid w:val="00B363B7"/>
    <w:rsid w:val="00B36440"/>
    <w:rsid w:val="00B3682E"/>
    <w:rsid w:val="00B3684F"/>
    <w:rsid w:val="00B36D7C"/>
    <w:rsid w:val="00B4001A"/>
    <w:rsid w:val="00B404F7"/>
    <w:rsid w:val="00B40B8D"/>
    <w:rsid w:val="00B40BA3"/>
    <w:rsid w:val="00B41767"/>
    <w:rsid w:val="00B4190E"/>
    <w:rsid w:val="00B42881"/>
    <w:rsid w:val="00B42F8F"/>
    <w:rsid w:val="00B44351"/>
    <w:rsid w:val="00B45322"/>
    <w:rsid w:val="00B45437"/>
    <w:rsid w:val="00B46445"/>
    <w:rsid w:val="00B46607"/>
    <w:rsid w:val="00B479D8"/>
    <w:rsid w:val="00B47B77"/>
    <w:rsid w:val="00B501D0"/>
    <w:rsid w:val="00B509CF"/>
    <w:rsid w:val="00B5204D"/>
    <w:rsid w:val="00B55C5E"/>
    <w:rsid w:val="00B56F94"/>
    <w:rsid w:val="00B60185"/>
    <w:rsid w:val="00B602AB"/>
    <w:rsid w:val="00B606D6"/>
    <w:rsid w:val="00B608AA"/>
    <w:rsid w:val="00B61C90"/>
    <w:rsid w:val="00B63353"/>
    <w:rsid w:val="00B6381B"/>
    <w:rsid w:val="00B648AA"/>
    <w:rsid w:val="00B64EC5"/>
    <w:rsid w:val="00B64F23"/>
    <w:rsid w:val="00B66BB7"/>
    <w:rsid w:val="00B670E4"/>
    <w:rsid w:val="00B67D8B"/>
    <w:rsid w:val="00B70021"/>
    <w:rsid w:val="00B70E5F"/>
    <w:rsid w:val="00B70F2A"/>
    <w:rsid w:val="00B715A3"/>
    <w:rsid w:val="00B7283F"/>
    <w:rsid w:val="00B754BC"/>
    <w:rsid w:val="00B765A8"/>
    <w:rsid w:val="00B76FAF"/>
    <w:rsid w:val="00B77707"/>
    <w:rsid w:val="00B806B7"/>
    <w:rsid w:val="00B80811"/>
    <w:rsid w:val="00B80F49"/>
    <w:rsid w:val="00B82613"/>
    <w:rsid w:val="00B830B9"/>
    <w:rsid w:val="00B84289"/>
    <w:rsid w:val="00B846D4"/>
    <w:rsid w:val="00B85137"/>
    <w:rsid w:val="00B85CB1"/>
    <w:rsid w:val="00B873DD"/>
    <w:rsid w:val="00B904B0"/>
    <w:rsid w:val="00B912B2"/>
    <w:rsid w:val="00B96F6B"/>
    <w:rsid w:val="00B973A4"/>
    <w:rsid w:val="00B97BDC"/>
    <w:rsid w:val="00BA019D"/>
    <w:rsid w:val="00BA0C24"/>
    <w:rsid w:val="00BA0C90"/>
    <w:rsid w:val="00BA12DD"/>
    <w:rsid w:val="00BA1969"/>
    <w:rsid w:val="00BA1A01"/>
    <w:rsid w:val="00BA20DD"/>
    <w:rsid w:val="00BA2113"/>
    <w:rsid w:val="00BA31B4"/>
    <w:rsid w:val="00BA3560"/>
    <w:rsid w:val="00BA3799"/>
    <w:rsid w:val="00BA4146"/>
    <w:rsid w:val="00BA551C"/>
    <w:rsid w:val="00BA6080"/>
    <w:rsid w:val="00BA6355"/>
    <w:rsid w:val="00BA7345"/>
    <w:rsid w:val="00BB0CC5"/>
    <w:rsid w:val="00BB17F1"/>
    <w:rsid w:val="00BB3131"/>
    <w:rsid w:val="00BB4DE0"/>
    <w:rsid w:val="00BB5794"/>
    <w:rsid w:val="00BB6204"/>
    <w:rsid w:val="00BC1711"/>
    <w:rsid w:val="00BC2181"/>
    <w:rsid w:val="00BC2BEE"/>
    <w:rsid w:val="00BC3BAD"/>
    <w:rsid w:val="00BC5096"/>
    <w:rsid w:val="00BC5A2B"/>
    <w:rsid w:val="00BC698E"/>
    <w:rsid w:val="00BC6F8E"/>
    <w:rsid w:val="00BC7E4B"/>
    <w:rsid w:val="00BD01EB"/>
    <w:rsid w:val="00BD053A"/>
    <w:rsid w:val="00BD0F51"/>
    <w:rsid w:val="00BD19D3"/>
    <w:rsid w:val="00BD245B"/>
    <w:rsid w:val="00BD245E"/>
    <w:rsid w:val="00BD25D8"/>
    <w:rsid w:val="00BD4FB9"/>
    <w:rsid w:val="00BD5807"/>
    <w:rsid w:val="00BD6A7C"/>
    <w:rsid w:val="00BD7486"/>
    <w:rsid w:val="00BD7D88"/>
    <w:rsid w:val="00BE0096"/>
    <w:rsid w:val="00BE06CE"/>
    <w:rsid w:val="00BE0B38"/>
    <w:rsid w:val="00BE0B95"/>
    <w:rsid w:val="00BE0BAA"/>
    <w:rsid w:val="00BE1016"/>
    <w:rsid w:val="00BE103B"/>
    <w:rsid w:val="00BE11EA"/>
    <w:rsid w:val="00BE328E"/>
    <w:rsid w:val="00BE5031"/>
    <w:rsid w:val="00BE5086"/>
    <w:rsid w:val="00BE579E"/>
    <w:rsid w:val="00BE58AB"/>
    <w:rsid w:val="00BE5F4D"/>
    <w:rsid w:val="00BE658E"/>
    <w:rsid w:val="00BE6EF6"/>
    <w:rsid w:val="00BE7D69"/>
    <w:rsid w:val="00BF07AA"/>
    <w:rsid w:val="00BF083A"/>
    <w:rsid w:val="00BF11FE"/>
    <w:rsid w:val="00BF157D"/>
    <w:rsid w:val="00BF1D87"/>
    <w:rsid w:val="00BF4C15"/>
    <w:rsid w:val="00BF4EBC"/>
    <w:rsid w:val="00BF51F7"/>
    <w:rsid w:val="00BF51FB"/>
    <w:rsid w:val="00BF702E"/>
    <w:rsid w:val="00C02B9A"/>
    <w:rsid w:val="00C03333"/>
    <w:rsid w:val="00C03B40"/>
    <w:rsid w:val="00C05EF5"/>
    <w:rsid w:val="00C06A09"/>
    <w:rsid w:val="00C07468"/>
    <w:rsid w:val="00C10E8E"/>
    <w:rsid w:val="00C141D5"/>
    <w:rsid w:val="00C14419"/>
    <w:rsid w:val="00C1665A"/>
    <w:rsid w:val="00C175A6"/>
    <w:rsid w:val="00C17815"/>
    <w:rsid w:val="00C17C3E"/>
    <w:rsid w:val="00C20C7D"/>
    <w:rsid w:val="00C21083"/>
    <w:rsid w:val="00C230EB"/>
    <w:rsid w:val="00C235BE"/>
    <w:rsid w:val="00C25215"/>
    <w:rsid w:val="00C27448"/>
    <w:rsid w:val="00C300D6"/>
    <w:rsid w:val="00C3056C"/>
    <w:rsid w:val="00C30846"/>
    <w:rsid w:val="00C31ACA"/>
    <w:rsid w:val="00C327D3"/>
    <w:rsid w:val="00C32E99"/>
    <w:rsid w:val="00C33C56"/>
    <w:rsid w:val="00C34236"/>
    <w:rsid w:val="00C34B11"/>
    <w:rsid w:val="00C352A1"/>
    <w:rsid w:val="00C35373"/>
    <w:rsid w:val="00C357F8"/>
    <w:rsid w:val="00C35825"/>
    <w:rsid w:val="00C417E0"/>
    <w:rsid w:val="00C41836"/>
    <w:rsid w:val="00C42446"/>
    <w:rsid w:val="00C42E94"/>
    <w:rsid w:val="00C43694"/>
    <w:rsid w:val="00C44786"/>
    <w:rsid w:val="00C4499D"/>
    <w:rsid w:val="00C462CE"/>
    <w:rsid w:val="00C5187A"/>
    <w:rsid w:val="00C55526"/>
    <w:rsid w:val="00C56151"/>
    <w:rsid w:val="00C62AA4"/>
    <w:rsid w:val="00C662DC"/>
    <w:rsid w:val="00C66F33"/>
    <w:rsid w:val="00C6737E"/>
    <w:rsid w:val="00C706AD"/>
    <w:rsid w:val="00C71C22"/>
    <w:rsid w:val="00C72354"/>
    <w:rsid w:val="00C729AA"/>
    <w:rsid w:val="00C73998"/>
    <w:rsid w:val="00C74133"/>
    <w:rsid w:val="00C752F3"/>
    <w:rsid w:val="00C75A96"/>
    <w:rsid w:val="00C76C3E"/>
    <w:rsid w:val="00C76F53"/>
    <w:rsid w:val="00C77B6E"/>
    <w:rsid w:val="00C77FE4"/>
    <w:rsid w:val="00C806D0"/>
    <w:rsid w:val="00C8173A"/>
    <w:rsid w:val="00C82D8A"/>
    <w:rsid w:val="00C82FD8"/>
    <w:rsid w:val="00C862F4"/>
    <w:rsid w:val="00C87157"/>
    <w:rsid w:val="00C87FC4"/>
    <w:rsid w:val="00C934ED"/>
    <w:rsid w:val="00C93691"/>
    <w:rsid w:val="00C93BA8"/>
    <w:rsid w:val="00C9402A"/>
    <w:rsid w:val="00C94219"/>
    <w:rsid w:val="00CA4110"/>
    <w:rsid w:val="00CA5350"/>
    <w:rsid w:val="00CA7480"/>
    <w:rsid w:val="00CA78EA"/>
    <w:rsid w:val="00CA7A93"/>
    <w:rsid w:val="00CB08D8"/>
    <w:rsid w:val="00CB1079"/>
    <w:rsid w:val="00CB2964"/>
    <w:rsid w:val="00CB32B3"/>
    <w:rsid w:val="00CB4738"/>
    <w:rsid w:val="00CB4F65"/>
    <w:rsid w:val="00CB7762"/>
    <w:rsid w:val="00CB7937"/>
    <w:rsid w:val="00CC0629"/>
    <w:rsid w:val="00CC1850"/>
    <w:rsid w:val="00CC1DDF"/>
    <w:rsid w:val="00CC3400"/>
    <w:rsid w:val="00CC4F9A"/>
    <w:rsid w:val="00CC6203"/>
    <w:rsid w:val="00CC6CB6"/>
    <w:rsid w:val="00CC72B1"/>
    <w:rsid w:val="00CD017F"/>
    <w:rsid w:val="00CD15A1"/>
    <w:rsid w:val="00CD15CF"/>
    <w:rsid w:val="00CD20BD"/>
    <w:rsid w:val="00CD22F4"/>
    <w:rsid w:val="00CD2B9C"/>
    <w:rsid w:val="00CD3301"/>
    <w:rsid w:val="00CD338A"/>
    <w:rsid w:val="00CD3C80"/>
    <w:rsid w:val="00CD4121"/>
    <w:rsid w:val="00CD5828"/>
    <w:rsid w:val="00CD655C"/>
    <w:rsid w:val="00CD7C59"/>
    <w:rsid w:val="00CD7E33"/>
    <w:rsid w:val="00CE184E"/>
    <w:rsid w:val="00CE1B78"/>
    <w:rsid w:val="00CE1C58"/>
    <w:rsid w:val="00CE2205"/>
    <w:rsid w:val="00CE23C1"/>
    <w:rsid w:val="00CE24D3"/>
    <w:rsid w:val="00CE2BFF"/>
    <w:rsid w:val="00CE2D07"/>
    <w:rsid w:val="00CE44C4"/>
    <w:rsid w:val="00CE4629"/>
    <w:rsid w:val="00CE49D6"/>
    <w:rsid w:val="00CE5354"/>
    <w:rsid w:val="00CF15E4"/>
    <w:rsid w:val="00CF198E"/>
    <w:rsid w:val="00CF6139"/>
    <w:rsid w:val="00CF6E5D"/>
    <w:rsid w:val="00CF721C"/>
    <w:rsid w:val="00D00AB2"/>
    <w:rsid w:val="00D02078"/>
    <w:rsid w:val="00D02354"/>
    <w:rsid w:val="00D03F84"/>
    <w:rsid w:val="00D04B89"/>
    <w:rsid w:val="00D05203"/>
    <w:rsid w:val="00D05EE7"/>
    <w:rsid w:val="00D101C0"/>
    <w:rsid w:val="00D124DC"/>
    <w:rsid w:val="00D131AC"/>
    <w:rsid w:val="00D142E5"/>
    <w:rsid w:val="00D1497E"/>
    <w:rsid w:val="00D14BF4"/>
    <w:rsid w:val="00D14C3C"/>
    <w:rsid w:val="00D2007D"/>
    <w:rsid w:val="00D22626"/>
    <w:rsid w:val="00D229ED"/>
    <w:rsid w:val="00D23562"/>
    <w:rsid w:val="00D2365B"/>
    <w:rsid w:val="00D2619C"/>
    <w:rsid w:val="00D2630D"/>
    <w:rsid w:val="00D303ED"/>
    <w:rsid w:val="00D32B3A"/>
    <w:rsid w:val="00D332A8"/>
    <w:rsid w:val="00D339DE"/>
    <w:rsid w:val="00D355EC"/>
    <w:rsid w:val="00D364D0"/>
    <w:rsid w:val="00D4075E"/>
    <w:rsid w:val="00D40E7B"/>
    <w:rsid w:val="00D4157A"/>
    <w:rsid w:val="00D41D60"/>
    <w:rsid w:val="00D42162"/>
    <w:rsid w:val="00D433F8"/>
    <w:rsid w:val="00D43C39"/>
    <w:rsid w:val="00D44F73"/>
    <w:rsid w:val="00D46064"/>
    <w:rsid w:val="00D465FB"/>
    <w:rsid w:val="00D47A53"/>
    <w:rsid w:val="00D5078E"/>
    <w:rsid w:val="00D530E7"/>
    <w:rsid w:val="00D53E4D"/>
    <w:rsid w:val="00D53FEC"/>
    <w:rsid w:val="00D54E51"/>
    <w:rsid w:val="00D556E9"/>
    <w:rsid w:val="00D62F4D"/>
    <w:rsid w:val="00D64324"/>
    <w:rsid w:val="00D64398"/>
    <w:rsid w:val="00D65593"/>
    <w:rsid w:val="00D67533"/>
    <w:rsid w:val="00D67859"/>
    <w:rsid w:val="00D70254"/>
    <w:rsid w:val="00D7137F"/>
    <w:rsid w:val="00D71669"/>
    <w:rsid w:val="00D72412"/>
    <w:rsid w:val="00D7369C"/>
    <w:rsid w:val="00D7420A"/>
    <w:rsid w:val="00D755F6"/>
    <w:rsid w:val="00D75A0A"/>
    <w:rsid w:val="00D77570"/>
    <w:rsid w:val="00D77722"/>
    <w:rsid w:val="00D80FD8"/>
    <w:rsid w:val="00D8144B"/>
    <w:rsid w:val="00D819BF"/>
    <w:rsid w:val="00D83BE1"/>
    <w:rsid w:val="00D843DA"/>
    <w:rsid w:val="00D91466"/>
    <w:rsid w:val="00D9215E"/>
    <w:rsid w:val="00D92649"/>
    <w:rsid w:val="00D9403C"/>
    <w:rsid w:val="00D94131"/>
    <w:rsid w:val="00D94142"/>
    <w:rsid w:val="00D94403"/>
    <w:rsid w:val="00D9530F"/>
    <w:rsid w:val="00D9665D"/>
    <w:rsid w:val="00D96E4C"/>
    <w:rsid w:val="00D96F7D"/>
    <w:rsid w:val="00D97718"/>
    <w:rsid w:val="00DA0120"/>
    <w:rsid w:val="00DA19AB"/>
    <w:rsid w:val="00DA2F93"/>
    <w:rsid w:val="00DA5074"/>
    <w:rsid w:val="00DA5F53"/>
    <w:rsid w:val="00DA6BAD"/>
    <w:rsid w:val="00DA7602"/>
    <w:rsid w:val="00DA7BAB"/>
    <w:rsid w:val="00DB07AE"/>
    <w:rsid w:val="00DB10C6"/>
    <w:rsid w:val="00DB2C7F"/>
    <w:rsid w:val="00DB302F"/>
    <w:rsid w:val="00DB53BD"/>
    <w:rsid w:val="00DB60BF"/>
    <w:rsid w:val="00DB6672"/>
    <w:rsid w:val="00DB6DA7"/>
    <w:rsid w:val="00DB74B5"/>
    <w:rsid w:val="00DB751D"/>
    <w:rsid w:val="00DB7E38"/>
    <w:rsid w:val="00DC1F49"/>
    <w:rsid w:val="00DC4B47"/>
    <w:rsid w:val="00DC4B9C"/>
    <w:rsid w:val="00DC6BAA"/>
    <w:rsid w:val="00DD12AA"/>
    <w:rsid w:val="00DD134C"/>
    <w:rsid w:val="00DD1A4B"/>
    <w:rsid w:val="00DD1D77"/>
    <w:rsid w:val="00DD3AF9"/>
    <w:rsid w:val="00DD3B8E"/>
    <w:rsid w:val="00DD51A1"/>
    <w:rsid w:val="00DD76C9"/>
    <w:rsid w:val="00DE1E17"/>
    <w:rsid w:val="00DE2208"/>
    <w:rsid w:val="00DE4444"/>
    <w:rsid w:val="00DE55B8"/>
    <w:rsid w:val="00DE7509"/>
    <w:rsid w:val="00DE770E"/>
    <w:rsid w:val="00DE7972"/>
    <w:rsid w:val="00DF2B0B"/>
    <w:rsid w:val="00DF378F"/>
    <w:rsid w:val="00DF400E"/>
    <w:rsid w:val="00DF4944"/>
    <w:rsid w:val="00DF520E"/>
    <w:rsid w:val="00DF5CAB"/>
    <w:rsid w:val="00DF70A8"/>
    <w:rsid w:val="00E01F42"/>
    <w:rsid w:val="00E021F8"/>
    <w:rsid w:val="00E023A9"/>
    <w:rsid w:val="00E0358E"/>
    <w:rsid w:val="00E03D9B"/>
    <w:rsid w:val="00E041B2"/>
    <w:rsid w:val="00E046E8"/>
    <w:rsid w:val="00E04EEE"/>
    <w:rsid w:val="00E053C5"/>
    <w:rsid w:val="00E0707A"/>
    <w:rsid w:val="00E07163"/>
    <w:rsid w:val="00E07F7A"/>
    <w:rsid w:val="00E10981"/>
    <w:rsid w:val="00E109CD"/>
    <w:rsid w:val="00E1168C"/>
    <w:rsid w:val="00E11927"/>
    <w:rsid w:val="00E12867"/>
    <w:rsid w:val="00E130D0"/>
    <w:rsid w:val="00E14C41"/>
    <w:rsid w:val="00E17D3F"/>
    <w:rsid w:val="00E21557"/>
    <w:rsid w:val="00E21D29"/>
    <w:rsid w:val="00E22733"/>
    <w:rsid w:val="00E227D9"/>
    <w:rsid w:val="00E23C2D"/>
    <w:rsid w:val="00E308AC"/>
    <w:rsid w:val="00E30A93"/>
    <w:rsid w:val="00E31664"/>
    <w:rsid w:val="00E31D2E"/>
    <w:rsid w:val="00E32959"/>
    <w:rsid w:val="00E33CFF"/>
    <w:rsid w:val="00E33FF6"/>
    <w:rsid w:val="00E342F7"/>
    <w:rsid w:val="00E37609"/>
    <w:rsid w:val="00E413A7"/>
    <w:rsid w:val="00E41AAE"/>
    <w:rsid w:val="00E449E7"/>
    <w:rsid w:val="00E44A1E"/>
    <w:rsid w:val="00E45650"/>
    <w:rsid w:val="00E4572D"/>
    <w:rsid w:val="00E45F8C"/>
    <w:rsid w:val="00E46461"/>
    <w:rsid w:val="00E46AC6"/>
    <w:rsid w:val="00E47BB1"/>
    <w:rsid w:val="00E510AB"/>
    <w:rsid w:val="00E528A5"/>
    <w:rsid w:val="00E534CA"/>
    <w:rsid w:val="00E54F23"/>
    <w:rsid w:val="00E55B3F"/>
    <w:rsid w:val="00E56955"/>
    <w:rsid w:val="00E61CA2"/>
    <w:rsid w:val="00E61D20"/>
    <w:rsid w:val="00E629D6"/>
    <w:rsid w:val="00E62C22"/>
    <w:rsid w:val="00E635DA"/>
    <w:rsid w:val="00E640B8"/>
    <w:rsid w:val="00E66729"/>
    <w:rsid w:val="00E66A03"/>
    <w:rsid w:val="00E70C92"/>
    <w:rsid w:val="00E72C8B"/>
    <w:rsid w:val="00E73840"/>
    <w:rsid w:val="00E74BE1"/>
    <w:rsid w:val="00E74E3C"/>
    <w:rsid w:val="00E75D78"/>
    <w:rsid w:val="00E75F7E"/>
    <w:rsid w:val="00E81419"/>
    <w:rsid w:val="00E824E3"/>
    <w:rsid w:val="00E82996"/>
    <w:rsid w:val="00E82C45"/>
    <w:rsid w:val="00E84252"/>
    <w:rsid w:val="00E85C5B"/>
    <w:rsid w:val="00E85CBA"/>
    <w:rsid w:val="00E86726"/>
    <w:rsid w:val="00E90072"/>
    <w:rsid w:val="00E909A3"/>
    <w:rsid w:val="00E90FC0"/>
    <w:rsid w:val="00E91876"/>
    <w:rsid w:val="00E93CE3"/>
    <w:rsid w:val="00E96621"/>
    <w:rsid w:val="00E967DD"/>
    <w:rsid w:val="00E9793A"/>
    <w:rsid w:val="00EA00E8"/>
    <w:rsid w:val="00EA30E5"/>
    <w:rsid w:val="00EA3249"/>
    <w:rsid w:val="00EA3E4E"/>
    <w:rsid w:val="00EA4BF0"/>
    <w:rsid w:val="00EB0E33"/>
    <w:rsid w:val="00EB2E01"/>
    <w:rsid w:val="00EB358A"/>
    <w:rsid w:val="00EB3638"/>
    <w:rsid w:val="00EB36BD"/>
    <w:rsid w:val="00EB6187"/>
    <w:rsid w:val="00EB6E69"/>
    <w:rsid w:val="00EB7285"/>
    <w:rsid w:val="00EB7E79"/>
    <w:rsid w:val="00EC12EF"/>
    <w:rsid w:val="00EC27B4"/>
    <w:rsid w:val="00EC38D2"/>
    <w:rsid w:val="00EC4CA1"/>
    <w:rsid w:val="00EC5605"/>
    <w:rsid w:val="00EC5990"/>
    <w:rsid w:val="00EC6337"/>
    <w:rsid w:val="00ED0D0E"/>
    <w:rsid w:val="00ED42A5"/>
    <w:rsid w:val="00ED5A4D"/>
    <w:rsid w:val="00EE05B3"/>
    <w:rsid w:val="00EE1206"/>
    <w:rsid w:val="00EE1FBA"/>
    <w:rsid w:val="00EE2448"/>
    <w:rsid w:val="00EE30F8"/>
    <w:rsid w:val="00EE339D"/>
    <w:rsid w:val="00EE3462"/>
    <w:rsid w:val="00EE3D00"/>
    <w:rsid w:val="00EE5AD9"/>
    <w:rsid w:val="00EE7E16"/>
    <w:rsid w:val="00EF0714"/>
    <w:rsid w:val="00EF1AA7"/>
    <w:rsid w:val="00EF2A4A"/>
    <w:rsid w:val="00EF2F06"/>
    <w:rsid w:val="00EF33E1"/>
    <w:rsid w:val="00EF4917"/>
    <w:rsid w:val="00EF51DC"/>
    <w:rsid w:val="00EF7620"/>
    <w:rsid w:val="00EF7A70"/>
    <w:rsid w:val="00EF7E41"/>
    <w:rsid w:val="00F0091C"/>
    <w:rsid w:val="00F04518"/>
    <w:rsid w:val="00F04875"/>
    <w:rsid w:val="00F04EB0"/>
    <w:rsid w:val="00F0721E"/>
    <w:rsid w:val="00F1063A"/>
    <w:rsid w:val="00F11266"/>
    <w:rsid w:val="00F11524"/>
    <w:rsid w:val="00F129FE"/>
    <w:rsid w:val="00F13494"/>
    <w:rsid w:val="00F14CC7"/>
    <w:rsid w:val="00F15A97"/>
    <w:rsid w:val="00F22B2F"/>
    <w:rsid w:val="00F23351"/>
    <w:rsid w:val="00F23574"/>
    <w:rsid w:val="00F24678"/>
    <w:rsid w:val="00F248C0"/>
    <w:rsid w:val="00F26B89"/>
    <w:rsid w:val="00F271E5"/>
    <w:rsid w:val="00F307C8"/>
    <w:rsid w:val="00F30DBE"/>
    <w:rsid w:val="00F3269F"/>
    <w:rsid w:val="00F33E34"/>
    <w:rsid w:val="00F34989"/>
    <w:rsid w:val="00F34A72"/>
    <w:rsid w:val="00F37F21"/>
    <w:rsid w:val="00F401B6"/>
    <w:rsid w:val="00F408F8"/>
    <w:rsid w:val="00F40AA8"/>
    <w:rsid w:val="00F4105B"/>
    <w:rsid w:val="00F425D3"/>
    <w:rsid w:val="00F4291A"/>
    <w:rsid w:val="00F4350E"/>
    <w:rsid w:val="00F43619"/>
    <w:rsid w:val="00F437C1"/>
    <w:rsid w:val="00F44449"/>
    <w:rsid w:val="00F465AA"/>
    <w:rsid w:val="00F4679A"/>
    <w:rsid w:val="00F46E68"/>
    <w:rsid w:val="00F47E40"/>
    <w:rsid w:val="00F502B5"/>
    <w:rsid w:val="00F5091D"/>
    <w:rsid w:val="00F50E5E"/>
    <w:rsid w:val="00F51426"/>
    <w:rsid w:val="00F53E1F"/>
    <w:rsid w:val="00F54D73"/>
    <w:rsid w:val="00F54F1C"/>
    <w:rsid w:val="00F5597C"/>
    <w:rsid w:val="00F55EA1"/>
    <w:rsid w:val="00F569EB"/>
    <w:rsid w:val="00F57F5C"/>
    <w:rsid w:val="00F60852"/>
    <w:rsid w:val="00F60FDF"/>
    <w:rsid w:val="00F633B3"/>
    <w:rsid w:val="00F63F59"/>
    <w:rsid w:val="00F6423B"/>
    <w:rsid w:val="00F647D0"/>
    <w:rsid w:val="00F65298"/>
    <w:rsid w:val="00F66C52"/>
    <w:rsid w:val="00F67444"/>
    <w:rsid w:val="00F7124B"/>
    <w:rsid w:val="00F71BC8"/>
    <w:rsid w:val="00F722DB"/>
    <w:rsid w:val="00F72D20"/>
    <w:rsid w:val="00F740D6"/>
    <w:rsid w:val="00F76985"/>
    <w:rsid w:val="00F77FC4"/>
    <w:rsid w:val="00F8007E"/>
    <w:rsid w:val="00F80F54"/>
    <w:rsid w:val="00F815CF"/>
    <w:rsid w:val="00F8293D"/>
    <w:rsid w:val="00F83D99"/>
    <w:rsid w:val="00F83F6A"/>
    <w:rsid w:val="00F85FA8"/>
    <w:rsid w:val="00F86970"/>
    <w:rsid w:val="00F8736F"/>
    <w:rsid w:val="00F87436"/>
    <w:rsid w:val="00F87EF7"/>
    <w:rsid w:val="00F9040A"/>
    <w:rsid w:val="00F91892"/>
    <w:rsid w:val="00F965F9"/>
    <w:rsid w:val="00F974E2"/>
    <w:rsid w:val="00FA3C5B"/>
    <w:rsid w:val="00FA3E6B"/>
    <w:rsid w:val="00FA4C7A"/>
    <w:rsid w:val="00FA63B3"/>
    <w:rsid w:val="00FA68FA"/>
    <w:rsid w:val="00FB0F5F"/>
    <w:rsid w:val="00FB131A"/>
    <w:rsid w:val="00FB360D"/>
    <w:rsid w:val="00FB3C5F"/>
    <w:rsid w:val="00FB4E63"/>
    <w:rsid w:val="00FB506A"/>
    <w:rsid w:val="00FB5312"/>
    <w:rsid w:val="00FB54FB"/>
    <w:rsid w:val="00FB5F81"/>
    <w:rsid w:val="00FB71F4"/>
    <w:rsid w:val="00FC030D"/>
    <w:rsid w:val="00FC03B0"/>
    <w:rsid w:val="00FC136C"/>
    <w:rsid w:val="00FC1666"/>
    <w:rsid w:val="00FC2966"/>
    <w:rsid w:val="00FC4483"/>
    <w:rsid w:val="00FC750B"/>
    <w:rsid w:val="00FC79EE"/>
    <w:rsid w:val="00FC7CD2"/>
    <w:rsid w:val="00FD1B98"/>
    <w:rsid w:val="00FD44DD"/>
    <w:rsid w:val="00FD53F2"/>
    <w:rsid w:val="00FD5506"/>
    <w:rsid w:val="00FD631C"/>
    <w:rsid w:val="00FD7544"/>
    <w:rsid w:val="00FE1F78"/>
    <w:rsid w:val="00FE2200"/>
    <w:rsid w:val="00FE27C0"/>
    <w:rsid w:val="00FE352D"/>
    <w:rsid w:val="00FE467C"/>
    <w:rsid w:val="00FF0E25"/>
    <w:rsid w:val="00FF108C"/>
    <w:rsid w:val="00FF1DDE"/>
    <w:rsid w:val="00FF3672"/>
    <w:rsid w:val="00FF5095"/>
    <w:rsid w:val="21DEF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C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13F9E"/>
    <w:pPr>
      <w:spacing w:before="80" w:after="120"/>
    </w:pPr>
    <w:rPr>
      <w:rFonts w:ascii="Arial" w:hAnsi="Arial"/>
      <w:sz w:val="22"/>
      <w:szCs w:val="22"/>
      <w:lang w:eastAsia="en-US"/>
    </w:rPr>
  </w:style>
  <w:style w:type="paragraph" w:styleId="Titre1">
    <w:name w:val="heading 1"/>
    <w:basedOn w:val="Normal"/>
    <w:next w:val="Normal"/>
    <w:link w:val="Titre1Car"/>
    <w:uiPriority w:val="9"/>
    <w:qFormat/>
    <w:rsid w:val="00EE12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9"/>
    <w:qFormat/>
    <w:rsid w:val="00BA0C90"/>
    <w:pPr>
      <w:keepNext/>
      <w:keepLines/>
      <w:spacing w:before="120"/>
      <w:ind w:left="1416" w:hanging="708"/>
      <w:jc w:val="both"/>
      <w:outlineLvl w:val="1"/>
    </w:pPr>
    <w:rPr>
      <w:rFonts w:eastAsia="Times New Roman"/>
      <w:caps/>
      <w:sz w:val="20"/>
      <w:szCs w:val="20"/>
      <w:lang w:eastAsia="fr-FR"/>
    </w:rPr>
  </w:style>
  <w:style w:type="paragraph" w:styleId="Titre4">
    <w:name w:val="heading 4"/>
    <w:basedOn w:val="Normal"/>
    <w:next w:val="Normal"/>
    <w:link w:val="Titre4Car"/>
    <w:uiPriority w:val="9"/>
    <w:semiHidden/>
    <w:qFormat/>
    <w:rsid w:val="001B6A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332A8"/>
    <w:pPr>
      <w:tabs>
        <w:tab w:val="center" w:pos="4536"/>
        <w:tab w:val="right" w:pos="9072"/>
      </w:tabs>
      <w:spacing w:after="0"/>
    </w:pPr>
  </w:style>
  <w:style w:type="character" w:customStyle="1" w:styleId="En-tteCar">
    <w:name w:val="En-tête Car"/>
    <w:basedOn w:val="Policepardfaut"/>
    <w:link w:val="En-tte"/>
    <w:uiPriority w:val="99"/>
    <w:semiHidden/>
    <w:rsid w:val="00213F9E"/>
    <w:rPr>
      <w:rFonts w:ascii="Arial" w:hAnsi="Arial"/>
    </w:rPr>
  </w:style>
  <w:style w:type="paragraph" w:styleId="Pieddepage">
    <w:name w:val="footer"/>
    <w:basedOn w:val="Normal"/>
    <w:link w:val="PieddepageCar"/>
    <w:uiPriority w:val="99"/>
    <w:rsid w:val="00D332A8"/>
    <w:pPr>
      <w:tabs>
        <w:tab w:val="center" w:pos="4536"/>
        <w:tab w:val="right" w:pos="9072"/>
      </w:tabs>
      <w:spacing w:after="0"/>
    </w:pPr>
  </w:style>
  <w:style w:type="character" w:customStyle="1" w:styleId="PieddepageCar">
    <w:name w:val="Pied de page Car"/>
    <w:basedOn w:val="Policepardfaut"/>
    <w:link w:val="Pieddepage"/>
    <w:uiPriority w:val="99"/>
    <w:rsid w:val="00213F9E"/>
    <w:rPr>
      <w:rFonts w:ascii="Arial" w:hAnsi="Arial"/>
    </w:rPr>
  </w:style>
  <w:style w:type="paragraph" w:styleId="Textedebulles">
    <w:name w:val="Balloon Text"/>
    <w:basedOn w:val="Normal"/>
    <w:link w:val="TextedebullesCar"/>
    <w:uiPriority w:val="99"/>
    <w:semiHidden/>
    <w:rsid w:val="00D332A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9E"/>
    <w:rPr>
      <w:rFonts w:ascii="Tahoma" w:hAnsi="Tahoma" w:cs="Tahoma"/>
      <w:sz w:val="16"/>
      <w:szCs w:val="16"/>
    </w:rPr>
  </w:style>
  <w:style w:type="table" w:styleId="Grilledutableau">
    <w:name w:val="Table Grid"/>
    <w:basedOn w:val="TableauNormal"/>
    <w:uiPriority w:val="59"/>
    <w:rsid w:val="00E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EnTete">
    <w:name w:val="EDF_EnTete"/>
    <w:basedOn w:val="En-tte"/>
    <w:qFormat/>
    <w:rsid w:val="00A85D21"/>
    <w:pPr>
      <w:spacing w:before="0"/>
    </w:pPr>
    <w:rPr>
      <w:color w:val="6D6E71"/>
      <w:sz w:val="16"/>
    </w:rPr>
  </w:style>
  <w:style w:type="paragraph" w:customStyle="1" w:styleId="EDFTitreDocument">
    <w:name w:val="EDF_Titre_Document"/>
    <w:basedOn w:val="Normal"/>
    <w:qFormat/>
    <w:rsid w:val="009362C9"/>
    <w:pPr>
      <w:spacing w:before="0" w:after="0"/>
    </w:pPr>
    <w:rPr>
      <w:b/>
      <w:caps/>
      <w:color w:val="005BBB"/>
      <w:sz w:val="28"/>
      <w:szCs w:val="40"/>
    </w:rPr>
  </w:style>
  <w:style w:type="paragraph" w:customStyle="1" w:styleId="EDFTitre1">
    <w:name w:val="EDF_Titre_1"/>
    <w:basedOn w:val="Normal"/>
    <w:next w:val="EDFTitre2"/>
    <w:qFormat/>
    <w:rsid w:val="009362C9"/>
    <w:pPr>
      <w:numPr>
        <w:numId w:val="8"/>
      </w:numPr>
      <w:spacing w:before="0" w:after="80"/>
      <w:outlineLvl w:val="0"/>
    </w:pPr>
    <w:rPr>
      <w:b/>
      <w:caps/>
      <w:color w:val="001A70"/>
      <w:szCs w:val="32"/>
    </w:rPr>
  </w:style>
  <w:style w:type="paragraph" w:styleId="TM1">
    <w:name w:val="toc 1"/>
    <w:basedOn w:val="EDFTitre1"/>
    <w:next w:val="Normal"/>
    <w:autoRedefine/>
    <w:uiPriority w:val="39"/>
    <w:rsid w:val="008F5599"/>
    <w:pPr>
      <w:numPr>
        <w:numId w:val="0"/>
      </w:numPr>
      <w:tabs>
        <w:tab w:val="right" w:pos="9968"/>
      </w:tabs>
      <w:jc w:val="both"/>
    </w:pPr>
  </w:style>
  <w:style w:type="paragraph" w:customStyle="1" w:styleId="EDFTitre2">
    <w:name w:val="EDF_Titre_2"/>
    <w:basedOn w:val="EDFTitre1"/>
    <w:next w:val="EDFTitre3"/>
    <w:qFormat/>
    <w:rsid w:val="00190A52"/>
    <w:pPr>
      <w:numPr>
        <w:ilvl w:val="1"/>
      </w:numPr>
      <w:tabs>
        <w:tab w:val="left" w:pos="595"/>
      </w:tabs>
      <w:outlineLvl w:val="1"/>
    </w:pPr>
    <w:rPr>
      <w:color w:val="6D6E71"/>
    </w:rPr>
  </w:style>
  <w:style w:type="paragraph" w:customStyle="1" w:styleId="EDFTitre3">
    <w:name w:val="EDF_Titre_3"/>
    <w:basedOn w:val="EDFTitre2"/>
    <w:next w:val="EDFTexteCourant"/>
    <w:qFormat/>
    <w:rsid w:val="0055441F"/>
    <w:pPr>
      <w:numPr>
        <w:ilvl w:val="2"/>
      </w:numPr>
      <w:spacing w:after="140"/>
      <w:outlineLvl w:val="2"/>
    </w:pPr>
    <w:rPr>
      <w:b w:val="0"/>
      <w:caps w:val="0"/>
    </w:rPr>
  </w:style>
  <w:style w:type="paragraph" w:styleId="TM2">
    <w:name w:val="toc 2"/>
    <w:basedOn w:val="EDFTitre2"/>
    <w:next w:val="Normal"/>
    <w:autoRedefine/>
    <w:uiPriority w:val="39"/>
    <w:rsid w:val="00696FBF"/>
    <w:pPr>
      <w:numPr>
        <w:ilvl w:val="0"/>
        <w:numId w:val="0"/>
      </w:numPr>
      <w:tabs>
        <w:tab w:val="right" w:pos="9967"/>
      </w:tabs>
    </w:pPr>
  </w:style>
  <w:style w:type="paragraph" w:styleId="TM3">
    <w:name w:val="toc 3"/>
    <w:basedOn w:val="EDFTitre3"/>
    <w:next w:val="Normal"/>
    <w:autoRedefine/>
    <w:uiPriority w:val="39"/>
    <w:rsid w:val="00696FBF"/>
    <w:pPr>
      <w:numPr>
        <w:ilvl w:val="0"/>
        <w:numId w:val="0"/>
      </w:numPr>
      <w:tabs>
        <w:tab w:val="right" w:leader="dot" w:pos="9968"/>
      </w:tabs>
      <w:spacing w:after="80"/>
    </w:pPr>
    <w:rPr>
      <w:noProof/>
    </w:rPr>
  </w:style>
  <w:style w:type="paragraph" w:customStyle="1" w:styleId="EDFPiedPage">
    <w:name w:val="EDF_Pied_Page"/>
    <w:basedOn w:val="Pieddepage"/>
    <w:qFormat/>
    <w:rsid w:val="0091677B"/>
    <w:pPr>
      <w:jc w:val="right"/>
    </w:pPr>
    <w:rPr>
      <w:sz w:val="14"/>
      <w:szCs w:val="18"/>
    </w:rPr>
  </w:style>
  <w:style w:type="paragraph" w:customStyle="1" w:styleId="EDFTexteCourant">
    <w:name w:val="EDF_Texte_Courant"/>
    <w:basedOn w:val="Normal"/>
    <w:qFormat/>
    <w:rsid w:val="0091677B"/>
    <w:pPr>
      <w:spacing w:after="100" w:line="252" w:lineRule="auto"/>
    </w:pPr>
    <w:rPr>
      <w:sz w:val="16"/>
    </w:rPr>
  </w:style>
  <w:style w:type="character" w:customStyle="1" w:styleId="EDFTexteBleu">
    <w:name w:val="EDF_Texte_Bleu"/>
    <w:basedOn w:val="Policepardfaut"/>
    <w:uiPriority w:val="1"/>
    <w:qFormat/>
    <w:rsid w:val="009362C9"/>
    <w:rPr>
      <w:color w:val="001A70"/>
    </w:rPr>
  </w:style>
  <w:style w:type="paragraph" w:customStyle="1" w:styleId="EDFTextePuceNiveau1">
    <w:name w:val="EDF_Texte_Puce_Niveau_1"/>
    <w:basedOn w:val="EDFTexteCourant"/>
    <w:next w:val="Normal"/>
    <w:qFormat/>
    <w:rsid w:val="009362C9"/>
    <w:pPr>
      <w:numPr>
        <w:numId w:val="1"/>
      </w:numPr>
      <w:ind w:left="737" w:hanging="170"/>
    </w:pPr>
  </w:style>
  <w:style w:type="paragraph" w:customStyle="1" w:styleId="EDFTextePuceNiveau2">
    <w:name w:val="EDF_Texte_Puce_Niveau_2"/>
    <w:basedOn w:val="EDFTextePuceNiveau1"/>
    <w:qFormat/>
    <w:rsid w:val="009362C9"/>
    <w:pPr>
      <w:numPr>
        <w:numId w:val="2"/>
      </w:numPr>
      <w:ind w:left="1418" w:hanging="142"/>
    </w:pPr>
  </w:style>
  <w:style w:type="table" w:customStyle="1" w:styleId="EDFTableau">
    <w:name w:val="EDF_Tableau"/>
    <w:basedOn w:val="TableauNormal"/>
    <w:uiPriority w:val="99"/>
    <w:qFormat/>
    <w:rsid w:val="00490162"/>
    <w:rPr>
      <w:rFonts w:ascii="Arial" w:hAnsi="Arial"/>
      <w:sz w:val="34"/>
    </w:rPr>
    <w:tblPr>
      <w:tblStyleRowBandSize w:val="1"/>
      <w:tblStyleColBandSize w:val="1"/>
      <w:tblBorders>
        <w:insideH w:val="single" w:sz="2" w:space="0" w:color="6D6E71"/>
        <w:insideV w:val="single" w:sz="2" w:space="0" w:color="6D6E71"/>
      </w:tblBorders>
    </w:tblPr>
    <w:tcPr>
      <w:shd w:val="clear" w:color="auto" w:fill="auto"/>
    </w:tcPr>
    <w:tblStylePr w:type="firstRow">
      <w:pPr>
        <w:jc w:val="center"/>
      </w:pPr>
      <w:rPr>
        <w:rFonts w:ascii="Arial" w:hAnsi="Arial"/>
        <w:b/>
        <w:i w:val="0"/>
        <w:caps/>
        <w:smallCaps w:val="0"/>
        <w:color w:val="FFFFFF"/>
        <w:sz w:val="24"/>
      </w:rPr>
      <w:tblPr/>
      <w:tcPr>
        <w:shd w:val="clear" w:color="auto" w:fill="001A70"/>
        <w:vAlign w:val="center"/>
      </w:tcPr>
    </w:tblStylePr>
    <w:tblStylePr w:type="lastRow">
      <w:tblPr/>
      <w:tcPr>
        <w:vAlign w:val="center"/>
      </w:tcPr>
    </w:tblStylePr>
    <w:tblStylePr w:type="firstCol">
      <w:pPr>
        <w:jc w:val="center"/>
      </w:pPr>
      <w:rPr>
        <w:rFonts w:ascii="Arial" w:hAnsi="Arial"/>
        <w:b/>
        <w:caps/>
        <w:smallCaps w:val="0"/>
        <w:color w:val="FFFFFF"/>
        <w:sz w:val="24"/>
      </w:rPr>
      <w:tblPr/>
      <w:tcPr>
        <w:shd w:val="clear" w:color="auto" w:fill="001A70"/>
      </w:tcPr>
    </w:tblStylePr>
    <w:tblStylePr w:type="lastCol">
      <w:tblPr/>
      <w:tcPr>
        <w:vAlign w:val="center"/>
      </w:tcPr>
    </w:tblStylePr>
    <w:tblStylePr w:type="band1Vert">
      <w:tblPr/>
      <w:tcPr>
        <w:vAlign w:val="center"/>
      </w:tcPr>
    </w:tblStylePr>
    <w:tblStylePr w:type="band2Vert">
      <w:tblPr/>
      <w:tcPr>
        <w:vAlign w:val="center"/>
      </w:tcPr>
    </w:tblStylePr>
    <w:tblStylePr w:type="band1Horz">
      <w:tblPr/>
      <w:tcPr>
        <w:vAlign w:val="center"/>
      </w:tcPr>
    </w:tblStylePr>
    <w:tblStylePr w:type="band2Horz">
      <w:tblPr/>
      <w:tcPr>
        <w:vAlign w:val="center"/>
      </w:tcPr>
    </w:tblStylePr>
  </w:style>
  <w:style w:type="paragraph" w:styleId="Paragraphedeliste">
    <w:name w:val="List Paragraph"/>
    <w:basedOn w:val="Normal"/>
    <w:link w:val="ParagraphedelisteCar"/>
    <w:uiPriority w:val="34"/>
    <w:qFormat/>
    <w:rsid w:val="00D303ED"/>
    <w:pPr>
      <w:ind w:left="720"/>
      <w:contextualSpacing/>
    </w:pPr>
  </w:style>
  <w:style w:type="paragraph" w:customStyle="1" w:styleId="EDFTextePuceEncartOrange">
    <w:name w:val="EDF_Texte_Puce_Encart_Orange"/>
    <w:basedOn w:val="Paragraphedeliste"/>
    <w:qFormat/>
    <w:rsid w:val="00490162"/>
    <w:pPr>
      <w:numPr>
        <w:numId w:val="3"/>
      </w:numPr>
      <w:shd w:val="clear" w:color="auto" w:fill="005BBB"/>
      <w:spacing w:before="0" w:after="0" w:line="252" w:lineRule="auto"/>
      <w:ind w:left="737" w:hanging="170"/>
    </w:pPr>
    <w:rPr>
      <w:color w:val="FFFFFF"/>
    </w:rPr>
  </w:style>
  <w:style w:type="table" w:customStyle="1" w:styleId="EDFTableauConclusion">
    <w:name w:val="EDF_Tableau_Conclusion"/>
    <w:basedOn w:val="TableauNormal"/>
    <w:uiPriority w:val="99"/>
    <w:qFormat/>
    <w:rsid w:val="00490162"/>
    <w:rPr>
      <w:rFonts w:ascii="Arial" w:hAnsi="Arial"/>
    </w:rPr>
    <w:tblPr>
      <w:tblStyleRowBandSize w:val="1"/>
      <w:tblStyleColBandSize w:val="1"/>
      <w:tblBorders>
        <w:insideH w:val="single" w:sz="48" w:space="0" w:color="FFFFFF"/>
      </w:tblBorders>
      <w:tblCellMar>
        <w:top w:w="255" w:type="dxa"/>
        <w:bottom w:w="255" w:type="dxa"/>
      </w:tblCellMar>
    </w:tblPr>
    <w:tcPr>
      <w:shd w:val="clear" w:color="auto" w:fill="005BBB"/>
      <w:tcMar>
        <w:top w:w="284" w:type="dxa"/>
        <w:bottom w:w="284" w:type="dxa"/>
      </w:tcMar>
      <w:vAlign w:val="center"/>
    </w:tcPr>
    <w:tblStylePr w:type="fir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auto"/>
        <w:sz w:val="22"/>
      </w:rPr>
      <w:tblPr/>
      <w:tcPr>
        <w:tcBorders>
          <w:top w:val="nil"/>
          <w:left w:val="nil"/>
          <w:bottom w:val="nil"/>
          <w:right w:val="nil"/>
          <w:insideH w:val="nil"/>
          <w:insideV w:val="nil"/>
          <w:tl2br w:val="nil"/>
          <w:tr2bl w:val="nil"/>
        </w:tcBorders>
        <w:shd w:val="clear" w:color="auto" w:fill="ECECED"/>
      </w:tcPr>
    </w:tblStylePr>
    <w:tblStylePr w:type="la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FFFFFF"/>
        <w:sz w:val="22"/>
      </w:rPr>
      <w:tblPr/>
      <w:tcPr>
        <w:shd w:val="clear" w:color="auto" w:fill="005BBB"/>
      </w:tcPr>
    </w:tblStylePr>
    <w:tblStylePr w:type="band1Horz">
      <w:tblPr/>
      <w:tcPr>
        <w:shd w:val="clear" w:color="auto" w:fill="005BBB"/>
      </w:tcPr>
    </w:tblStylePr>
    <w:tblStylePr w:type="band2Horz">
      <w:tblPr/>
      <w:tcPr>
        <w:shd w:val="clear" w:color="auto" w:fill="C9D200"/>
      </w:tcPr>
    </w:tblStylePr>
  </w:style>
  <w:style w:type="paragraph" w:customStyle="1" w:styleId="EDFSousTitreDocument">
    <w:name w:val="EDF_Sous_Titre_Document"/>
    <w:basedOn w:val="EDFTitreDocument"/>
    <w:qFormat/>
    <w:rsid w:val="00397310"/>
    <w:pPr>
      <w:spacing w:after="600"/>
    </w:pPr>
    <w:rPr>
      <w:caps w:val="0"/>
    </w:rPr>
  </w:style>
  <w:style w:type="paragraph" w:customStyle="1" w:styleId="EDFTableauTexteCourant">
    <w:name w:val="EDF_Tableau_Texte_Courant"/>
    <w:basedOn w:val="Normal"/>
    <w:qFormat/>
    <w:rsid w:val="00D64398"/>
    <w:pPr>
      <w:spacing w:before="0" w:after="0"/>
      <w:ind w:left="284"/>
    </w:pPr>
    <w:rPr>
      <w:sz w:val="16"/>
    </w:rPr>
  </w:style>
  <w:style w:type="paragraph" w:customStyle="1" w:styleId="EDFTextePuceEncartGris">
    <w:name w:val="EDF_Texte_Puce_Encart_Gris"/>
    <w:basedOn w:val="EDFTextePuceNiveau1"/>
    <w:rsid w:val="00490162"/>
    <w:pPr>
      <w:numPr>
        <w:numId w:val="5"/>
      </w:numPr>
      <w:shd w:val="clear" w:color="auto" w:fill="ECECED"/>
      <w:spacing w:before="0" w:after="0"/>
      <w:ind w:left="737" w:hanging="170"/>
    </w:pPr>
    <w:rPr>
      <w:sz w:val="22"/>
    </w:rPr>
  </w:style>
  <w:style w:type="numbering" w:customStyle="1" w:styleId="EDFliste">
    <w:name w:val="EDF liste"/>
    <w:uiPriority w:val="99"/>
    <w:rsid w:val="00570B3F"/>
    <w:pPr>
      <w:numPr>
        <w:numId w:val="4"/>
      </w:numPr>
    </w:pPr>
  </w:style>
  <w:style w:type="table" w:customStyle="1" w:styleId="Ombrageclair1">
    <w:name w:val="Ombrage clair1"/>
    <w:basedOn w:val="TableauNormal"/>
    <w:uiPriority w:val="60"/>
    <w:rsid w:val="00D777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epieddepage">
    <w:name w:val="Texte pied de page"/>
    <w:basedOn w:val="Normal"/>
    <w:qFormat/>
    <w:rsid w:val="00F60852"/>
    <w:pPr>
      <w:framePr w:w="10206" w:h="1673" w:wrap="notBeside" w:vAnchor="page" w:hAnchor="page" w:x="852" w:y="14318" w:anchorLock="1"/>
      <w:spacing w:before="0" w:after="0" w:line="130" w:lineRule="exact"/>
    </w:pPr>
    <w:rPr>
      <w:rFonts w:asciiTheme="minorHAnsi" w:eastAsiaTheme="minorHAnsi" w:hAnsiTheme="minorHAnsi" w:cstheme="minorBidi"/>
      <w:color w:val="333333"/>
      <w:sz w:val="10"/>
    </w:rPr>
  </w:style>
  <w:style w:type="paragraph" w:styleId="Notedebasdepage">
    <w:name w:val="footnote text"/>
    <w:basedOn w:val="Normal"/>
    <w:link w:val="NotedebasdepageCar"/>
    <w:semiHidden/>
    <w:rsid w:val="00A61AE4"/>
    <w:pPr>
      <w:spacing w:before="0" w:after="0"/>
      <w:jc w:val="both"/>
    </w:pPr>
    <w:rPr>
      <w:rFonts w:eastAsia="Times New Roman"/>
      <w:sz w:val="20"/>
      <w:szCs w:val="20"/>
      <w:lang w:eastAsia="fr-FR"/>
    </w:rPr>
  </w:style>
  <w:style w:type="character" w:customStyle="1" w:styleId="NotedebasdepageCar">
    <w:name w:val="Note de bas de page Car"/>
    <w:basedOn w:val="Policepardfaut"/>
    <w:link w:val="Notedebasdepage"/>
    <w:semiHidden/>
    <w:rsid w:val="00A61AE4"/>
    <w:rPr>
      <w:rFonts w:ascii="Arial" w:eastAsia="Times New Roman" w:hAnsi="Arial"/>
    </w:rPr>
  </w:style>
  <w:style w:type="character" w:styleId="Appelnotedebasdep">
    <w:name w:val="footnote reference"/>
    <w:basedOn w:val="Policepardfaut"/>
    <w:semiHidden/>
    <w:rsid w:val="00A61AE4"/>
    <w:rPr>
      <w:vertAlign w:val="superscript"/>
    </w:rPr>
  </w:style>
  <w:style w:type="paragraph" w:customStyle="1" w:styleId="Default">
    <w:name w:val="Default"/>
    <w:rsid w:val="00D75A0A"/>
    <w:pPr>
      <w:autoSpaceDE w:val="0"/>
      <w:autoSpaceDN w:val="0"/>
      <w:adjustRightInd w:val="0"/>
    </w:pPr>
    <w:rPr>
      <w:rFonts w:ascii="Verdana" w:eastAsia="Times New Roman" w:hAnsi="Verdana" w:cs="Verdana"/>
      <w:color w:val="000000"/>
      <w:sz w:val="24"/>
      <w:szCs w:val="24"/>
    </w:rPr>
  </w:style>
  <w:style w:type="character" w:styleId="Lienhypertexte">
    <w:name w:val="Hyperlink"/>
    <w:basedOn w:val="Policepardfaut"/>
    <w:uiPriority w:val="99"/>
    <w:unhideWhenUsed/>
    <w:rsid w:val="00650424"/>
    <w:rPr>
      <w:color w:val="0000FF" w:themeColor="hyperlink"/>
      <w:u w:val="single"/>
    </w:rPr>
  </w:style>
  <w:style w:type="paragraph" w:styleId="Retraitcorpsdetexte">
    <w:name w:val="Body Text Indent"/>
    <w:basedOn w:val="Normal"/>
    <w:link w:val="RetraitcorpsdetexteCar"/>
    <w:uiPriority w:val="99"/>
    <w:semiHidden/>
    <w:rsid w:val="00D71669"/>
    <w:pPr>
      <w:spacing w:before="0" w:after="0"/>
      <w:ind w:left="709"/>
      <w:jc w:val="both"/>
    </w:pPr>
    <w:rPr>
      <w:rFonts w:eastAsia="Times New Roman"/>
      <w:sz w:val="20"/>
      <w:szCs w:val="20"/>
    </w:rPr>
  </w:style>
  <w:style w:type="character" w:customStyle="1" w:styleId="RetraitcorpsdetexteCar">
    <w:name w:val="Retrait corps de texte Car"/>
    <w:basedOn w:val="Policepardfaut"/>
    <w:link w:val="Retraitcorpsdetexte"/>
    <w:uiPriority w:val="99"/>
    <w:semiHidden/>
    <w:rsid w:val="00D71669"/>
    <w:rPr>
      <w:rFonts w:ascii="Arial" w:eastAsia="Times New Roman" w:hAnsi="Arial"/>
    </w:rPr>
  </w:style>
  <w:style w:type="paragraph" w:styleId="Listepuces">
    <w:name w:val="List Bullet"/>
    <w:basedOn w:val="Normal"/>
    <w:autoRedefine/>
    <w:uiPriority w:val="99"/>
    <w:semiHidden/>
    <w:rsid w:val="00E04EEE"/>
    <w:pPr>
      <w:spacing w:before="0" w:after="0"/>
    </w:pPr>
    <w:rPr>
      <w:rFonts w:eastAsia="Times New Roman" w:cs="Arial"/>
      <w:lang w:eastAsia="fr-FR"/>
    </w:rPr>
  </w:style>
  <w:style w:type="character" w:customStyle="1" w:styleId="ParagraphedelisteCar">
    <w:name w:val="Paragraphe de liste Car"/>
    <w:link w:val="Paragraphedeliste"/>
    <w:uiPriority w:val="34"/>
    <w:rsid w:val="004770F3"/>
    <w:rPr>
      <w:rFonts w:ascii="Arial" w:hAnsi="Arial"/>
      <w:sz w:val="22"/>
      <w:szCs w:val="22"/>
      <w:lang w:eastAsia="en-US"/>
    </w:rPr>
  </w:style>
  <w:style w:type="paragraph" w:customStyle="1" w:styleId="Paragraphedeliste1">
    <w:name w:val="Paragraphe de liste1"/>
    <w:basedOn w:val="Normal"/>
    <w:rsid w:val="009A05FC"/>
    <w:pPr>
      <w:spacing w:before="0" w:after="0" w:line="288" w:lineRule="auto"/>
      <w:ind w:left="708"/>
      <w:jc w:val="both"/>
    </w:pPr>
    <w:rPr>
      <w:rFonts w:eastAsia="Times New Roman" w:cs="Arial"/>
      <w:sz w:val="20"/>
      <w:szCs w:val="20"/>
      <w:lang w:eastAsia="fr-FR"/>
    </w:rPr>
  </w:style>
  <w:style w:type="character" w:customStyle="1" w:styleId="Titre2Car">
    <w:name w:val="Titre 2 Car"/>
    <w:basedOn w:val="Policepardfaut"/>
    <w:link w:val="Titre2"/>
    <w:uiPriority w:val="99"/>
    <w:rsid w:val="00BA0C90"/>
    <w:rPr>
      <w:rFonts w:ascii="Arial" w:eastAsia="Times New Roman" w:hAnsi="Arial"/>
      <w:caps/>
    </w:rPr>
  </w:style>
  <w:style w:type="character" w:styleId="Marquedecommentaire">
    <w:name w:val="annotation reference"/>
    <w:basedOn w:val="Policepardfaut"/>
    <w:uiPriority w:val="99"/>
    <w:semiHidden/>
    <w:rsid w:val="00444045"/>
    <w:rPr>
      <w:sz w:val="16"/>
      <w:szCs w:val="16"/>
    </w:rPr>
  </w:style>
  <w:style w:type="paragraph" w:styleId="Commentaire">
    <w:name w:val="annotation text"/>
    <w:basedOn w:val="Normal"/>
    <w:link w:val="CommentaireCar"/>
    <w:uiPriority w:val="99"/>
    <w:rsid w:val="00444045"/>
    <w:rPr>
      <w:sz w:val="20"/>
      <w:szCs w:val="20"/>
    </w:rPr>
  </w:style>
  <w:style w:type="character" w:customStyle="1" w:styleId="CommentaireCar">
    <w:name w:val="Commentaire Car"/>
    <w:basedOn w:val="Policepardfaut"/>
    <w:link w:val="Commentaire"/>
    <w:uiPriority w:val="99"/>
    <w:rsid w:val="00444045"/>
    <w:rPr>
      <w:rFonts w:ascii="Arial" w:hAnsi="Arial"/>
      <w:lang w:eastAsia="en-US"/>
    </w:rPr>
  </w:style>
  <w:style w:type="paragraph" w:styleId="Objetducommentaire">
    <w:name w:val="annotation subject"/>
    <w:basedOn w:val="Commentaire"/>
    <w:next w:val="Commentaire"/>
    <w:link w:val="ObjetducommentaireCar"/>
    <w:uiPriority w:val="99"/>
    <w:semiHidden/>
    <w:rsid w:val="00444045"/>
    <w:rPr>
      <w:b/>
      <w:bCs/>
    </w:rPr>
  </w:style>
  <w:style w:type="character" w:customStyle="1" w:styleId="ObjetducommentaireCar">
    <w:name w:val="Objet du commentaire Car"/>
    <w:basedOn w:val="CommentaireCar"/>
    <w:link w:val="Objetducommentaire"/>
    <w:uiPriority w:val="99"/>
    <w:semiHidden/>
    <w:rsid w:val="00444045"/>
    <w:rPr>
      <w:rFonts w:ascii="Arial" w:hAnsi="Arial"/>
      <w:b/>
      <w:bCs/>
      <w:lang w:eastAsia="en-US"/>
    </w:rPr>
  </w:style>
  <w:style w:type="paragraph" w:customStyle="1" w:styleId="Retraitcorpsdetexte2">
    <w:name w:val="Retrait corps de texte2"/>
    <w:basedOn w:val="Normal"/>
    <w:link w:val="BodyTextIndentCar"/>
    <w:rsid w:val="00A37A76"/>
    <w:pPr>
      <w:spacing w:before="0" w:after="0"/>
      <w:jc w:val="both"/>
    </w:pPr>
    <w:rPr>
      <w:rFonts w:eastAsia="Times New Roman" w:cs="Arial"/>
      <w:color w:val="000000"/>
      <w:sz w:val="14"/>
      <w:szCs w:val="14"/>
      <w:lang w:eastAsia="fr-FR"/>
    </w:rPr>
  </w:style>
  <w:style w:type="character" w:customStyle="1" w:styleId="BodyTextIndentCar">
    <w:name w:val="Body Text Indent Car"/>
    <w:basedOn w:val="Policepardfaut"/>
    <w:link w:val="Retraitcorpsdetexte2"/>
    <w:rsid w:val="00A37A76"/>
    <w:rPr>
      <w:rFonts w:ascii="Arial" w:eastAsia="Times New Roman" w:hAnsi="Arial" w:cs="Arial"/>
      <w:color w:val="000000"/>
      <w:sz w:val="14"/>
      <w:szCs w:val="14"/>
    </w:rPr>
  </w:style>
  <w:style w:type="character" w:customStyle="1" w:styleId="Titre4Car">
    <w:name w:val="Titre 4 Car"/>
    <w:basedOn w:val="Policepardfaut"/>
    <w:link w:val="Titre4"/>
    <w:uiPriority w:val="9"/>
    <w:semiHidden/>
    <w:rsid w:val="001B6AE9"/>
    <w:rPr>
      <w:rFonts w:asciiTheme="majorHAnsi" w:eastAsiaTheme="majorEastAsia" w:hAnsiTheme="majorHAnsi" w:cstheme="majorBidi"/>
      <w:b/>
      <w:bCs/>
      <w:i/>
      <w:iCs/>
      <w:color w:val="4F81BD" w:themeColor="accent1"/>
      <w:sz w:val="22"/>
      <w:szCs w:val="22"/>
      <w:lang w:eastAsia="en-US"/>
    </w:rPr>
  </w:style>
  <w:style w:type="paragraph" w:styleId="Rvision">
    <w:name w:val="Revision"/>
    <w:hidden/>
    <w:uiPriority w:val="99"/>
    <w:semiHidden/>
    <w:rsid w:val="001E46EC"/>
    <w:rPr>
      <w:rFonts w:ascii="Arial" w:hAnsi="Arial"/>
      <w:sz w:val="22"/>
      <w:szCs w:val="22"/>
      <w:lang w:eastAsia="en-US"/>
    </w:rPr>
  </w:style>
  <w:style w:type="character" w:customStyle="1" w:styleId="profilspanleft">
    <w:name w:val="profil_span_left"/>
    <w:basedOn w:val="Policepardfaut"/>
    <w:rsid w:val="004D72E4"/>
  </w:style>
  <w:style w:type="paragraph" w:styleId="Corpsdetexte">
    <w:name w:val="Body Text"/>
    <w:basedOn w:val="Normal"/>
    <w:link w:val="CorpsdetexteCar"/>
    <w:uiPriority w:val="99"/>
    <w:semiHidden/>
    <w:rsid w:val="00D7137F"/>
  </w:style>
  <w:style w:type="character" w:customStyle="1" w:styleId="CorpsdetexteCar">
    <w:name w:val="Corps de texte Car"/>
    <w:basedOn w:val="Policepardfaut"/>
    <w:link w:val="Corpsdetexte"/>
    <w:uiPriority w:val="99"/>
    <w:semiHidden/>
    <w:rsid w:val="00D7137F"/>
    <w:rPr>
      <w:rFonts w:ascii="Arial" w:hAnsi="Arial"/>
      <w:sz w:val="22"/>
      <w:szCs w:val="22"/>
      <w:lang w:eastAsia="en-US"/>
    </w:rPr>
  </w:style>
  <w:style w:type="paragraph" w:styleId="TM4">
    <w:name w:val="toc 4"/>
    <w:basedOn w:val="Normal"/>
    <w:next w:val="Normal"/>
    <w:autoRedefine/>
    <w:uiPriority w:val="39"/>
    <w:unhideWhenUsed/>
    <w:rsid w:val="00905B77"/>
    <w:pPr>
      <w:spacing w:before="0" w:after="100" w:line="276" w:lineRule="auto"/>
      <w:ind w:left="660"/>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905B77"/>
    <w:pPr>
      <w:spacing w:before="0" w:after="100" w:line="276" w:lineRule="auto"/>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905B77"/>
    <w:pPr>
      <w:spacing w:before="0" w:after="100" w:line="276" w:lineRule="auto"/>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905B77"/>
    <w:pPr>
      <w:spacing w:before="0" w:after="100" w:line="276" w:lineRule="auto"/>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905B77"/>
    <w:pPr>
      <w:spacing w:before="0" w:after="100" w:line="276" w:lineRule="auto"/>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905B77"/>
    <w:pPr>
      <w:spacing w:before="0" w:after="100" w:line="276" w:lineRule="auto"/>
      <w:ind w:left="1760"/>
    </w:pPr>
    <w:rPr>
      <w:rFonts w:asciiTheme="minorHAnsi" w:eastAsiaTheme="minorEastAsia" w:hAnsiTheme="minorHAnsi" w:cstheme="minorBidi"/>
      <w:lang w:eastAsia="fr-FR"/>
    </w:rPr>
  </w:style>
  <w:style w:type="character" w:styleId="Lienhypertextesuivivisit">
    <w:name w:val="FollowedHyperlink"/>
    <w:basedOn w:val="Policepardfaut"/>
    <w:uiPriority w:val="99"/>
    <w:semiHidden/>
    <w:unhideWhenUsed/>
    <w:rsid w:val="003F6A78"/>
    <w:rPr>
      <w:color w:val="800080" w:themeColor="followedHyperlink"/>
      <w:u w:val="single"/>
    </w:rPr>
  </w:style>
  <w:style w:type="character" w:styleId="Textedelespacerserv">
    <w:name w:val="Placeholder Text"/>
    <w:basedOn w:val="Policepardfaut"/>
    <w:uiPriority w:val="99"/>
    <w:semiHidden/>
    <w:rsid w:val="003402BF"/>
    <w:rPr>
      <w:color w:val="808080"/>
    </w:rPr>
  </w:style>
  <w:style w:type="paragraph" w:customStyle="1" w:styleId="corpsdetexte0">
    <w:name w:val="corps de texte"/>
    <w:basedOn w:val="Normal"/>
    <w:link w:val="corpsdetexteCar0"/>
    <w:qFormat/>
    <w:rsid w:val="00316167"/>
    <w:pPr>
      <w:spacing w:before="0"/>
      <w:jc w:val="both"/>
    </w:pPr>
    <w:rPr>
      <w:rFonts w:ascii="Franklin Gothic Book" w:eastAsia="Cambria" w:hAnsi="Franklin Gothic Book" w:cs="Arial"/>
      <w:sz w:val="20"/>
      <w:szCs w:val="20"/>
    </w:rPr>
  </w:style>
  <w:style w:type="character" w:customStyle="1" w:styleId="corpsdetexteCar0">
    <w:name w:val="corps de texte Car"/>
    <w:basedOn w:val="Policepardfaut"/>
    <w:link w:val="corpsdetexte0"/>
    <w:rsid w:val="00316167"/>
    <w:rPr>
      <w:rFonts w:ascii="Franklin Gothic Book" w:eastAsia="Cambria" w:hAnsi="Franklin Gothic Book" w:cs="Arial"/>
      <w:lang w:eastAsia="en-US"/>
    </w:rPr>
  </w:style>
  <w:style w:type="paragraph" w:customStyle="1" w:styleId="titre20">
    <w:name w:val="titre2"/>
    <w:basedOn w:val="Normal"/>
    <w:autoRedefine/>
    <w:qFormat/>
    <w:rsid w:val="00797524"/>
    <w:pPr>
      <w:spacing w:before="240"/>
      <w:outlineLvl w:val="1"/>
    </w:pPr>
    <w:rPr>
      <w:rFonts w:ascii="Franklin Gothic Heavy" w:eastAsia="Times New Roman" w:hAnsi="Franklin Gothic Heavy" w:cs="Arial"/>
      <w:bCs/>
      <w:sz w:val="20"/>
      <w:szCs w:val="20"/>
      <w:lang w:eastAsia="ar-SA"/>
    </w:rPr>
  </w:style>
  <w:style w:type="table" w:customStyle="1" w:styleId="Grilledutableau1">
    <w:name w:val="Grille du tableau1"/>
    <w:basedOn w:val="TableauNormal"/>
    <w:next w:val="Grilledutableau"/>
    <w:uiPriority w:val="59"/>
    <w:rsid w:val="00316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0C5A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A6A"/>
    <w:pPr>
      <w:widowControl w:val="0"/>
      <w:autoSpaceDE w:val="0"/>
      <w:autoSpaceDN w:val="0"/>
      <w:spacing w:before="62" w:after="0"/>
    </w:pPr>
    <w:rPr>
      <w:rFonts w:ascii="Segoe UI" w:eastAsia="Segoe UI" w:hAnsi="Segoe UI" w:cs="Segoe UI"/>
      <w:lang w:val="en-US"/>
    </w:rPr>
  </w:style>
  <w:style w:type="character" w:customStyle="1" w:styleId="highlight">
    <w:name w:val="highlight"/>
    <w:basedOn w:val="Policepardfaut"/>
    <w:rsid w:val="002B73E8"/>
  </w:style>
  <w:style w:type="character" w:customStyle="1" w:styleId="Titre1Car">
    <w:name w:val="Titre 1 Car"/>
    <w:basedOn w:val="Policepardfaut"/>
    <w:link w:val="Titre1"/>
    <w:uiPriority w:val="9"/>
    <w:rsid w:val="00EE1206"/>
    <w:rPr>
      <w:rFonts w:asciiTheme="majorHAnsi" w:eastAsiaTheme="majorEastAsia" w:hAnsiTheme="majorHAnsi" w:cstheme="majorBidi"/>
      <w:color w:val="365F91" w:themeColor="accent1" w:themeShade="BF"/>
      <w:sz w:val="32"/>
      <w:szCs w:val="32"/>
      <w:lang w:eastAsia="en-US"/>
    </w:rPr>
  </w:style>
  <w:style w:type="paragraph" w:styleId="En-ttedetabledesmatires">
    <w:name w:val="TOC Heading"/>
    <w:basedOn w:val="Titre1"/>
    <w:next w:val="Normal"/>
    <w:uiPriority w:val="39"/>
    <w:unhideWhenUsed/>
    <w:qFormat/>
    <w:rsid w:val="00EE1206"/>
    <w:pPr>
      <w:spacing w:line="259" w:lineRule="auto"/>
      <w:outlineLvl w:val="9"/>
    </w:pPr>
    <w:rPr>
      <w:lang w:eastAsia="fr-FR"/>
    </w:rPr>
  </w:style>
  <w:style w:type="character" w:customStyle="1" w:styleId="Mentionnonrsolue1">
    <w:name w:val="Mention non résolue1"/>
    <w:basedOn w:val="Policepardfaut"/>
    <w:uiPriority w:val="99"/>
    <w:semiHidden/>
    <w:unhideWhenUsed/>
    <w:rsid w:val="00EE12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13F9E"/>
    <w:pPr>
      <w:spacing w:before="80" w:after="120"/>
    </w:pPr>
    <w:rPr>
      <w:rFonts w:ascii="Arial" w:hAnsi="Arial"/>
      <w:sz w:val="22"/>
      <w:szCs w:val="22"/>
      <w:lang w:eastAsia="en-US"/>
    </w:rPr>
  </w:style>
  <w:style w:type="paragraph" w:styleId="Titre1">
    <w:name w:val="heading 1"/>
    <w:basedOn w:val="Normal"/>
    <w:next w:val="Normal"/>
    <w:link w:val="Titre1Car"/>
    <w:uiPriority w:val="9"/>
    <w:qFormat/>
    <w:rsid w:val="00EE12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9"/>
    <w:qFormat/>
    <w:rsid w:val="00BA0C90"/>
    <w:pPr>
      <w:keepNext/>
      <w:keepLines/>
      <w:spacing w:before="120"/>
      <w:ind w:left="1416" w:hanging="708"/>
      <w:jc w:val="both"/>
      <w:outlineLvl w:val="1"/>
    </w:pPr>
    <w:rPr>
      <w:rFonts w:eastAsia="Times New Roman"/>
      <w:caps/>
      <w:sz w:val="20"/>
      <w:szCs w:val="20"/>
      <w:lang w:eastAsia="fr-FR"/>
    </w:rPr>
  </w:style>
  <w:style w:type="paragraph" w:styleId="Titre4">
    <w:name w:val="heading 4"/>
    <w:basedOn w:val="Normal"/>
    <w:next w:val="Normal"/>
    <w:link w:val="Titre4Car"/>
    <w:uiPriority w:val="9"/>
    <w:semiHidden/>
    <w:qFormat/>
    <w:rsid w:val="001B6A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332A8"/>
    <w:pPr>
      <w:tabs>
        <w:tab w:val="center" w:pos="4536"/>
        <w:tab w:val="right" w:pos="9072"/>
      </w:tabs>
      <w:spacing w:after="0"/>
    </w:pPr>
  </w:style>
  <w:style w:type="character" w:customStyle="1" w:styleId="En-tteCar">
    <w:name w:val="En-tête Car"/>
    <w:basedOn w:val="Policepardfaut"/>
    <w:link w:val="En-tte"/>
    <w:uiPriority w:val="99"/>
    <w:semiHidden/>
    <w:rsid w:val="00213F9E"/>
    <w:rPr>
      <w:rFonts w:ascii="Arial" w:hAnsi="Arial"/>
    </w:rPr>
  </w:style>
  <w:style w:type="paragraph" w:styleId="Pieddepage">
    <w:name w:val="footer"/>
    <w:basedOn w:val="Normal"/>
    <w:link w:val="PieddepageCar"/>
    <w:uiPriority w:val="99"/>
    <w:rsid w:val="00D332A8"/>
    <w:pPr>
      <w:tabs>
        <w:tab w:val="center" w:pos="4536"/>
        <w:tab w:val="right" w:pos="9072"/>
      </w:tabs>
      <w:spacing w:after="0"/>
    </w:pPr>
  </w:style>
  <w:style w:type="character" w:customStyle="1" w:styleId="PieddepageCar">
    <w:name w:val="Pied de page Car"/>
    <w:basedOn w:val="Policepardfaut"/>
    <w:link w:val="Pieddepage"/>
    <w:uiPriority w:val="99"/>
    <w:rsid w:val="00213F9E"/>
    <w:rPr>
      <w:rFonts w:ascii="Arial" w:hAnsi="Arial"/>
    </w:rPr>
  </w:style>
  <w:style w:type="paragraph" w:styleId="Textedebulles">
    <w:name w:val="Balloon Text"/>
    <w:basedOn w:val="Normal"/>
    <w:link w:val="TextedebullesCar"/>
    <w:uiPriority w:val="99"/>
    <w:semiHidden/>
    <w:rsid w:val="00D332A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9E"/>
    <w:rPr>
      <w:rFonts w:ascii="Tahoma" w:hAnsi="Tahoma" w:cs="Tahoma"/>
      <w:sz w:val="16"/>
      <w:szCs w:val="16"/>
    </w:rPr>
  </w:style>
  <w:style w:type="table" w:styleId="Grilledutableau">
    <w:name w:val="Table Grid"/>
    <w:basedOn w:val="TableauNormal"/>
    <w:uiPriority w:val="59"/>
    <w:rsid w:val="00E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EnTete">
    <w:name w:val="EDF_EnTete"/>
    <w:basedOn w:val="En-tte"/>
    <w:qFormat/>
    <w:rsid w:val="00A85D21"/>
    <w:pPr>
      <w:spacing w:before="0"/>
    </w:pPr>
    <w:rPr>
      <w:color w:val="6D6E71"/>
      <w:sz w:val="16"/>
    </w:rPr>
  </w:style>
  <w:style w:type="paragraph" w:customStyle="1" w:styleId="EDFTitreDocument">
    <w:name w:val="EDF_Titre_Document"/>
    <w:basedOn w:val="Normal"/>
    <w:qFormat/>
    <w:rsid w:val="009362C9"/>
    <w:pPr>
      <w:spacing w:before="0" w:after="0"/>
    </w:pPr>
    <w:rPr>
      <w:b/>
      <w:caps/>
      <w:color w:val="005BBB"/>
      <w:sz w:val="28"/>
      <w:szCs w:val="40"/>
    </w:rPr>
  </w:style>
  <w:style w:type="paragraph" w:customStyle="1" w:styleId="EDFTitre1">
    <w:name w:val="EDF_Titre_1"/>
    <w:basedOn w:val="Normal"/>
    <w:next w:val="EDFTitre2"/>
    <w:qFormat/>
    <w:rsid w:val="009362C9"/>
    <w:pPr>
      <w:numPr>
        <w:numId w:val="8"/>
      </w:numPr>
      <w:spacing w:before="0" w:after="80"/>
      <w:outlineLvl w:val="0"/>
    </w:pPr>
    <w:rPr>
      <w:b/>
      <w:caps/>
      <w:color w:val="001A70"/>
      <w:szCs w:val="32"/>
    </w:rPr>
  </w:style>
  <w:style w:type="paragraph" w:styleId="TM1">
    <w:name w:val="toc 1"/>
    <w:basedOn w:val="EDFTitre1"/>
    <w:next w:val="Normal"/>
    <w:autoRedefine/>
    <w:uiPriority w:val="39"/>
    <w:rsid w:val="008F5599"/>
    <w:pPr>
      <w:numPr>
        <w:numId w:val="0"/>
      </w:numPr>
      <w:tabs>
        <w:tab w:val="right" w:pos="9968"/>
      </w:tabs>
      <w:jc w:val="both"/>
    </w:pPr>
  </w:style>
  <w:style w:type="paragraph" w:customStyle="1" w:styleId="EDFTitre2">
    <w:name w:val="EDF_Titre_2"/>
    <w:basedOn w:val="EDFTitre1"/>
    <w:next w:val="EDFTitre3"/>
    <w:qFormat/>
    <w:rsid w:val="00190A52"/>
    <w:pPr>
      <w:numPr>
        <w:ilvl w:val="1"/>
      </w:numPr>
      <w:tabs>
        <w:tab w:val="left" w:pos="595"/>
      </w:tabs>
      <w:outlineLvl w:val="1"/>
    </w:pPr>
    <w:rPr>
      <w:color w:val="6D6E71"/>
    </w:rPr>
  </w:style>
  <w:style w:type="paragraph" w:customStyle="1" w:styleId="EDFTitre3">
    <w:name w:val="EDF_Titre_3"/>
    <w:basedOn w:val="EDFTitre2"/>
    <w:next w:val="EDFTexteCourant"/>
    <w:qFormat/>
    <w:rsid w:val="0055441F"/>
    <w:pPr>
      <w:numPr>
        <w:ilvl w:val="2"/>
      </w:numPr>
      <w:spacing w:after="140"/>
      <w:outlineLvl w:val="2"/>
    </w:pPr>
    <w:rPr>
      <w:b w:val="0"/>
      <w:caps w:val="0"/>
    </w:rPr>
  </w:style>
  <w:style w:type="paragraph" w:styleId="TM2">
    <w:name w:val="toc 2"/>
    <w:basedOn w:val="EDFTitre2"/>
    <w:next w:val="Normal"/>
    <w:autoRedefine/>
    <w:uiPriority w:val="39"/>
    <w:rsid w:val="00696FBF"/>
    <w:pPr>
      <w:numPr>
        <w:ilvl w:val="0"/>
        <w:numId w:val="0"/>
      </w:numPr>
      <w:tabs>
        <w:tab w:val="right" w:pos="9967"/>
      </w:tabs>
    </w:pPr>
  </w:style>
  <w:style w:type="paragraph" w:styleId="TM3">
    <w:name w:val="toc 3"/>
    <w:basedOn w:val="EDFTitre3"/>
    <w:next w:val="Normal"/>
    <w:autoRedefine/>
    <w:uiPriority w:val="39"/>
    <w:rsid w:val="00696FBF"/>
    <w:pPr>
      <w:numPr>
        <w:ilvl w:val="0"/>
        <w:numId w:val="0"/>
      </w:numPr>
      <w:tabs>
        <w:tab w:val="right" w:leader="dot" w:pos="9968"/>
      </w:tabs>
      <w:spacing w:after="80"/>
    </w:pPr>
    <w:rPr>
      <w:noProof/>
    </w:rPr>
  </w:style>
  <w:style w:type="paragraph" w:customStyle="1" w:styleId="EDFPiedPage">
    <w:name w:val="EDF_Pied_Page"/>
    <w:basedOn w:val="Pieddepage"/>
    <w:qFormat/>
    <w:rsid w:val="0091677B"/>
    <w:pPr>
      <w:jc w:val="right"/>
    </w:pPr>
    <w:rPr>
      <w:sz w:val="14"/>
      <w:szCs w:val="18"/>
    </w:rPr>
  </w:style>
  <w:style w:type="paragraph" w:customStyle="1" w:styleId="EDFTexteCourant">
    <w:name w:val="EDF_Texte_Courant"/>
    <w:basedOn w:val="Normal"/>
    <w:qFormat/>
    <w:rsid w:val="0091677B"/>
    <w:pPr>
      <w:spacing w:after="100" w:line="252" w:lineRule="auto"/>
    </w:pPr>
    <w:rPr>
      <w:sz w:val="16"/>
    </w:rPr>
  </w:style>
  <w:style w:type="character" w:customStyle="1" w:styleId="EDFTexteBleu">
    <w:name w:val="EDF_Texte_Bleu"/>
    <w:basedOn w:val="Policepardfaut"/>
    <w:uiPriority w:val="1"/>
    <w:qFormat/>
    <w:rsid w:val="009362C9"/>
    <w:rPr>
      <w:color w:val="001A70"/>
    </w:rPr>
  </w:style>
  <w:style w:type="paragraph" w:customStyle="1" w:styleId="EDFTextePuceNiveau1">
    <w:name w:val="EDF_Texte_Puce_Niveau_1"/>
    <w:basedOn w:val="EDFTexteCourant"/>
    <w:next w:val="Normal"/>
    <w:qFormat/>
    <w:rsid w:val="009362C9"/>
    <w:pPr>
      <w:numPr>
        <w:numId w:val="1"/>
      </w:numPr>
      <w:ind w:left="737" w:hanging="170"/>
    </w:pPr>
  </w:style>
  <w:style w:type="paragraph" w:customStyle="1" w:styleId="EDFTextePuceNiveau2">
    <w:name w:val="EDF_Texte_Puce_Niveau_2"/>
    <w:basedOn w:val="EDFTextePuceNiveau1"/>
    <w:qFormat/>
    <w:rsid w:val="009362C9"/>
    <w:pPr>
      <w:numPr>
        <w:numId w:val="2"/>
      </w:numPr>
      <w:ind w:left="1418" w:hanging="142"/>
    </w:pPr>
  </w:style>
  <w:style w:type="table" w:customStyle="1" w:styleId="EDFTableau">
    <w:name w:val="EDF_Tableau"/>
    <w:basedOn w:val="TableauNormal"/>
    <w:uiPriority w:val="99"/>
    <w:qFormat/>
    <w:rsid w:val="00490162"/>
    <w:rPr>
      <w:rFonts w:ascii="Arial" w:hAnsi="Arial"/>
      <w:sz w:val="34"/>
    </w:rPr>
    <w:tblPr>
      <w:tblStyleRowBandSize w:val="1"/>
      <w:tblStyleColBandSize w:val="1"/>
      <w:tblBorders>
        <w:insideH w:val="single" w:sz="2" w:space="0" w:color="6D6E71"/>
        <w:insideV w:val="single" w:sz="2" w:space="0" w:color="6D6E71"/>
      </w:tblBorders>
    </w:tblPr>
    <w:tcPr>
      <w:shd w:val="clear" w:color="auto" w:fill="auto"/>
    </w:tcPr>
    <w:tblStylePr w:type="firstRow">
      <w:pPr>
        <w:jc w:val="center"/>
      </w:pPr>
      <w:rPr>
        <w:rFonts w:ascii="Arial" w:hAnsi="Arial"/>
        <w:b/>
        <w:i w:val="0"/>
        <w:caps/>
        <w:smallCaps w:val="0"/>
        <w:color w:val="FFFFFF"/>
        <w:sz w:val="24"/>
      </w:rPr>
      <w:tblPr/>
      <w:tcPr>
        <w:shd w:val="clear" w:color="auto" w:fill="001A70"/>
        <w:vAlign w:val="center"/>
      </w:tcPr>
    </w:tblStylePr>
    <w:tblStylePr w:type="lastRow">
      <w:tblPr/>
      <w:tcPr>
        <w:vAlign w:val="center"/>
      </w:tcPr>
    </w:tblStylePr>
    <w:tblStylePr w:type="firstCol">
      <w:pPr>
        <w:jc w:val="center"/>
      </w:pPr>
      <w:rPr>
        <w:rFonts w:ascii="Arial" w:hAnsi="Arial"/>
        <w:b/>
        <w:caps/>
        <w:smallCaps w:val="0"/>
        <w:color w:val="FFFFFF"/>
        <w:sz w:val="24"/>
      </w:rPr>
      <w:tblPr/>
      <w:tcPr>
        <w:shd w:val="clear" w:color="auto" w:fill="001A70"/>
      </w:tcPr>
    </w:tblStylePr>
    <w:tblStylePr w:type="lastCol">
      <w:tblPr/>
      <w:tcPr>
        <w:vAlign w:val="center"/>
      </w:tcPr>
    </w:tblStylePr>
    <w:tblStylePr w:type="band1Vert">
      <w:tblPr/>
      <w:tcPr>
        <w:vAlign w:val="center"/>
      </w:tcPr>
    </w:tblStylePr>
    <w:tblStylePr w:type="band2Vert">
      <w:tblPr/>
      <w:tcPr>
        <w:vAlign w:val="center"/>
      </w:tcPr>
    </w:tblStylePr>
    <w:tblStylePr w:type="band1Horz">
      <w:tblPr/>
      <w:tcPr>
        <w:vAlign w:val="center"/>
      </w:tcPr>
    </w:tblStylePr>
    <w:tblStylePr w:type="band2Horz">
      <w:tblPr/>
      <w:tcPr>
        <w:vAlign w:val="center"/>
      </w:tcPr>
    </w:tblStylePr>
  </w:style>
  <w:style w:type="paragraph" w:styleId="Paragraphedeliste">
    <w:name w:val="List Paragraph"/>
    <w:basedOn w:val="Normal"/>
    <w:link w:val="ParagraphedelisteCar"/>
    <w:uiPriority w:val="34"/>
    <w:qFormat/>
    <w:rsid w:val="00D303ED"/>
    <w:pPr>
      <w:ind w:left="720"/>
      <w:contextualSpacing/>
    </w:pPr>
  </w:style>
  <w:style w:type="paragraph" w:customStyle="1" w:styleId="EDFTextePuceEncartOrange">
    <w:name w:val="EDF_Texte_Puce_Encart_Orange"/>
    <w:basedOn w:val="Paragraphedeliste"/>
    <w:qFormat/>
    <w:rsid w:val="00490162"/>
    <w:pPr>
      <w:numPr>
        <w:numId w:val="3"/>
      </w:numPr>
      <w:shd w:val="clear" w:color="auto" w:fill="005BBB"/>
      <w:spacing w:before="0" w:after="0" w:line="252" w:lineRule="auto"/>
      <w:ind w:left="737" w:hanging="170"/>
    </w:pPr>
    <w:rPr>
      <w:color w:val="FFFFFF"/>
    </w:rPr>
  </w:style>
  <w:style w:type="table" w:customStyle="1" w:styleId="EDFTableauConclusion">
    <w:name w:val="EDF_Tableau_Conclusion"/>
    <w:basedOn w:val="TableauNormal"/>
    <w:uiPriority w:val="99"/>
    <w:qFormat/>
    <w:rsid w:val="00490162"/>
    <w:rPr>
      <w:rFonts w:ascii="Arial" w:hAnsi="Arial"/>
    </w:rPr>
    <w:tblPr>
      <w:tblStyleRowBandSize w:val="1"/>
      <w:tblStyleColBandSize w:val="1"/>
      <w:tblBorders>
        <w:insideH w:val="single" w:sz="48" w:space="0" w:color="FFFFFF"/>
      </w:tblBorders>
      <w:tblCellMar>
        <w:top w:w="255" w:type="dxa"/>
        <w:bottom w:w="255" w:type="dxa"/>
      </w:tblCellMar>
    </w:tblPr>
    <w:tcPr>
      <w:shd w:val="clear" w:color="auto" w:fill="005BBB"/>
      <w:tcMar>
        <w:top w:w="284" w:type="dxa"/>
        <w:bottom w:w="284" w:type="dxa"/>
      </w:tcMar>
      <w:vAlign w:val="center"/>
    </w:tcPr>
    <w:tblStylePr w:type="fir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auto"/>
        <w:sz w:val="22"/>
      </w:rPr>
      <w:tblPr/>
      <w:tcPr>
        <w:tcBorders>
          <w:top w:val="nil"/>
          <w:left w:val="nil"/>
          <w:bottom w:val="nil"/>
          <w:right w:val="nil"/>
          <w:insideH w:val="nil"/>
          <w:insideV w:val="nil"/>
          <w:tl2br w:val="nil"/>
          <w:tr2bl w:val="nil"/>
        </w:tcBorders>
        <w:shd w:val="clear" w:color="auto" w:fill="ECECED"/>
      </w:tcPr>
    </w:tblStylePr>
    <w:tblStylePr w:type="la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FFFFFF"/>
        <w:sz w:val="22"/>
      </w:rPr>
      <w:tblPr/>
      <w:tcPr>
        <w:shd w:val="clear" w:color="auto" w:fill="005BBB"/>
      </w:tcPr>
    </w:tblStylePr>
    <w:tblStylePr w:type="band1Horz">
      <w:tblPr/>
      <w:tcPr>
        <w:shd w:val="clear" w:color="auto" w:fill="005BBB"/>
      </w:tcPr>
    </w:tblStylePr>
    <w:tblStylePr w:type="band2Horz">
      <w:tblPr/>
      <w:tcPr>
        <w:shd w:val="clear" w:color="auto" w:fill="C9D200"/>
      </w:tcPr>
    </w:tblStylePr>
  </w:style>
  <w:style w:type="paragraph" w:customStyle="1" w:styleId="EDFSousTitreDocument">
    <w:name w:val="EDF_Sous_Titre_Document"/>
    <w:basedOn w:val="EDFTitreDocument"/>
    <w:qFormat/>
    <w:rsid w:val="00397310"/>
    <w:pPr>
      <w:spacing w:after="600"/>
    </w:pPr>
    <w:rPr>
      <w:caps w:val="0"/>
    </w:rPr>
  </w:style>
  <w:style w:type="paragraph" w:customStyle="1" w:styleId="EDFTableauTexteCourant">
    <w:name w:val="EDF_Tableau_Texte_Courant"/>
    <w:basedOn w:val="Normal"/>
    <w:qFormat/>
    <w:rsid w:val="00D64398"/>
    <w:pPr>
      <w:spacing w:before="0" w:after="0"/>
      <w:ind w:left="284"/>
    </w:pPr>
    <w:rPr>
      <w:sz w:val="16"/>
    </w:rPr>
  </w:style>
  <w:style w:type="paragraph" w:customStyle="1" w:styleId="EDFTextePuceEncartGris">
    <w:name w:val="EDF_Texte_Puce_Encart_Gris"/>
    <w:basedOn w:val="EDFTextePuceNiveau1"/>
    <w:rsid w:val="00490162"/>
    <w:pPr>
      <w:numPr>
        <w:numId w:val="5"/>
      </w:numPr>
      <w:shd w:val="clear" w:color="auto" w:fill="ECECED"/>
      <w:spacing w:before="0" w:after="0"/>
      <w:ind w:left="737" w:hanging="170"/>
    </w:pPr>
    <w:rPr>
      <w:sz w:val="22"/>
    </w:rPr>
  </w:style>
  <w:style w:type="numbering" w:customStyle="1" w:styleId="EDFliste">
    <w:name w:val="EDF liste"/>
    <w:uiPriority w:val="99"/>
    <w:rsid w:val="00570B3F"/>
    <w:pPr>
      <w:numPr>
        <w:numId w:val="4"/>
      </w:numPr>
    </w:pPr>
  </w:style>
  <w:style w:type="table" w:customStyle="1" w:styleId="Ombrageclair1">
    <w:name w:val="Ombrage clair1"/>
    <w:basedOn w:val="TableauNormal"/>
    <w:uiPriority w:val="60"/>
    <w:rsid w:val="00D777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epieddepage">
    <w:name w:val="Texte pied de page"/>
    <w:basedOn w:val="Normal"/>
    <w:qFormat/>
    <w:rsid w:val="00F60852"/>
    <w:pPr>
      <w:framePr w:w="10206" w:h="1673" w:wrap="notBeside" w:vAnchor="page" w:hAnchor="page" w:x="852" w:y="14318" w:anchorLock="1"/>
      <w:spacing w:before="0" w:after="0" w:line="130" w:lineRule="exact"/>
    </w:pPr>
    <w:rPr>
      <w:rFonts w:asciiTheme="minorHAnsi" w:eastAsiaTheme="minorHAnsi" w:hAnsiTheme="minorHAnsi" w:cstheme="minorBidi"/>
      <w:color w:val="333333"/>
      <w:sz w:val="10"/>
    </w:rPr>
  </w:style>
  <w:style w:type="paragraph" w:styleId="Notedebasdepage">
    <w:name w:val="footnote text"/>
    <w:basedOn w:val="Normal"/>
    <w:link w:val="NotedebasdepageCar"/>
    <w:semiHidden/>
    <w:rsid w:val="00A61AE4"/>
    <w:pPr>
      <w:spacing w:before="0" w:after="0"/>
      <w:jc w:val="both"/>
    </w:pPr>
    <w:rPr>
      <w:rFonts w:eastAsia="Times New Roman"/>
      <w:sz w:val="20"/>
      <w:szCs w:val="20"/>
      <w:lang w:eastAsia="fr-FR"/>
    </w:rPr>
  </w:style>
  <w:style w:type="character" w:customStyle="1" w:styleId="NotedebasdepageCar">
    <w:name w:val="Note de bas de page Car"/>
    <w:basedOn w:val="Policepardfaut"/>
    <w:link w:val="Notedebasdepage"/>
    <w:semiHidden/>
    <w:rsid w:val="00A61AE4"/>
    <w:rPr>
      <w:rFonts w:ascii="Arial" w:eastAsia="Times New Roman" w:hAnsi="Arial"/>
    </w:rPr>
  </w:style>
  <w:style w:type="character" w:styleId="Appelnotedebasdep">
    <w:name w:val="footnote reference"/>
    <w:basedOn w:val="Policepardfaut"/>
    <w:semiHidden/>
    <w:rsid w:val="00A61AE4"/>
    <w:rPr>
      <w:vertAlign w:val="superscript"/>
    </w:rPr>
  </w:style>
  <w:style w:type="paragraph" w:customStyle="1" w:styleId="Default">
    <w:name w:val="Default"/>
    <w:rsid w:val="00D75A0A"/>
    <w:pPr>
      <w:autoSpaceDE w:val="0"/>
      <w:autoSpaceDN w:val="0"/>
      <w:adjustRightInd w:val="0"/>
    </w:pPr>
    <w:rPr>
      <w:rFonts w:ascii="Verdana" w:eastAsia="Times New Roman" w:hAnsi="Verdana" w:cs="Verdana"/>
      <w:color w:val="000000"/>
      <w:sz w:val="24"/>
      <w:szCs w:val="24"/>
    </w:rPr>
  </w:style>
  <w:style w:type="character" w:styleId="Lienhypertexte">
    <w:name w:val="Hyperlink"/>
    <w:basedOn w:val="Policepardfaut"/>
    <w:uiPriority w:val="99"/>
    <w:unhideWhenUsed/>
    <w:rsid w:val="00650424"/>
    <w:rPr>
      <w:color w:val="0000FF" w:themeColor="hyperlink"/>
      <w:u w:val="single"/>
    </w:rPr>
  </w:style>
  <w:style w:type="paragraph" w:styleId="Retraitcorpsdetexte">
    <w:name w:val="Body Text Indent"/>
    <w:basedOn w:val="Normal"/>
    <w:link w:val="RetraitcorpsdetexteCar"/>
    <w:uiPriority w:val="99"/>
    <w:semiHidden/>
    <w:rsid w:val="00D71669"/>
    <w:pPr>
      <w:spacing w:before="0" w:after="0"/>
      <w:ind w:left="709"/>
      <w:jc w:val="both"/>
    </w:pPr>
    <w:rPr>
      <w:rFonts w:eastAsia="Times New Roman"/>
      <w:sz w:val="20"/>
      <w:szCs w:val="20"/>
    </w:rPr>
  </w:style>
  <w:style w:type="character" w:customStyle="1" w:styleId="RetraitcorpsdetexteCar">
    <w:name w:val="Retrait corps de texte Car"/>
    <w:basedOn w:val="Policepardfaut"/>
    <w:link w:val="Retraitcorpsdetexte"/>
    <w:uiPriority w:val="99"/>
    <w:semiHidden/>
    <w:rsid w:val="00D71669"/>
    <w:rPr>
      <w:rFonts w:ascii="Arial" w:eastAsia="Times New Roman" w:hAnsi="Arial"/>
    </w:rPr>
  </w:style>
  <w:style w:type="paragraph" w:styleId="Listepuces">
    <w:name w:val="List Bullet"/>
    <w:basedOn w:val="Normal"/>
    <w:autoRedefine/>
    <w:uiPriority w:val="99"/>
    <w:semiHidden/>
    <w:rsid w:val="00E04EEE"/>
    <w:pPr>
      <w:spacing w:before="0" w:after="0"/>
    </w:pPr>
    <w:rPr>
      <w:rFonts w:eastAsia="Times New Roman" w:cs="Arial"/>
      <w:lang w:eastAsia="fr-FR"/>
    </w:rPr>
  </w:style>
  <w:style w:type="character" w:customStyle="1" w:styleId="ParagraphedelisteCar">
    <w:name w:val="Paragraphe de liste Car"/>
    <w:link w:val="Paragraphedeliste"/>
    <w:uiPriority w:val="34"/>
    <w:rsid w:val="004770F3"/>
    <w:rPr>
      <w:rFonts w:ascii="Arial" w:hAnsi="Arial"/>
      <w:sz w:val="22"/>
      <w:szCs w:val="22"/>
      <w:lang w:eastAsia="en-US"/>
    </w:rPr>
  </w:style>
  <w:style w:type="paragraph" w:customStyle="1" w:styleId="Paragraphedeliste1">
    <w:name w:val="Paragraphe de liste1"/>
    <w:basedOn w:val="Normal"/>
    <w:rsid w:val="009A05FC"/>
    <w:pPr>
      <w:spacing w:before="0" w:after="0" w:line="288" w:lineRule="auto"/>
      <w:ind w:left="708"/>
      <w:jc w:val="both"/>
    </w:pPr>
    <w:rPr>
      <w:rFonts w:eastAsia="Times New Roman" w:cs="Arial"/>
      <w:sz w:val="20"/>
      <w:szCs w:val="20"/>
      <w:lang w:eastAsia="fr-FR"/>
    </w:rPr>
  </w:style>
  <w:style w:type="character" w:customStyle="1" w:styleId="Titre2Car">
    <w:name w:val="Titre 2 Car"/>
    <w:basedOn w:val="Policepardfaut"/>
    <w:link w:val="Titre2"/>
    <w:uiPriority w:val="99"/>
    <w:rsid w:val="00BA0C90"/>
    <w:rPr>
      <w:rFonts w:ascii="Arial" w:eastAsia="Times New Roman" w:hAnsi="Arial"/>
      <w:caps/>
    </w:rPr>
  </w:style>
  <w:style w:type="character" w:styleId="Marquedecommentaire">
    <w:name w:val="annotation reference"/>
    <w:basedOn w:val="Policepardfaut"/>
    <w:uiPriority w:val="99"/>
    <w:semiHidden/>
    <w:rsid w:val="00444045"/>
    <w:rPr>
      <w:sz w:val="16"/>
      <w:szCs w:val="16"/>
    </w:rPr>
  </w:style>
  <w:style w:type="paragraph" w:styleId="Commentaire">
    <w:name w:val="annotation text"/>
    <w:basedOn w:val="Normal"/>
    <w:link w:val="CommentaireCar"/>
    <w:uiPriority w:val="99"/>
    <w:rsid w:val="00444045"/>
    <w:rPr>
      <w:sz w:val="20"/>
      <w:szCs w:val="20"/>
    </w:rPr>
  </w:style>
  <w:style w:type="character" w:customStyle="1" w:styleId="CommentaireCar">
    <w:name w:val="Commentaire Car"/>
    <w:basedOn w:val="Policepardfaut"/>
    <w:link w:val="Commentaire"/>
    <w:uiPriority w:val="99"/>
    <w:rsid w:val="00444045"/>
    <w:rPr>
      <w:rFonts w:ascii="Arial" w:hAnsi="Arial"/>
      <w:lang w:eastAsia="en-US"/>
    </w:rPr>
  </w:style>
  <w:style w:type="paragraph" w:styleId="Objetducommentaire">
    <w:name w:val="annotation subject"/>
    <w:basedOn w:val="Commentaire"/>
    <w:next w:val="Commentaire"/>
    <w:link w:val="ObjetducommentaireCar"/>
    <w:uiPriority w:val="99"/>
    <w:semiHidden/>
    <w:rsid w:val="00444045"/>
    <w:rPr>
      <w:b/>
      <w:bCs/>
    </w:rPr>
  </w:style>
  <w:style w:type="character" w:customStyle="1" w:styleId="ObjetducommentaireCar">
    <w:name w:val="Objet du commentaire Car"/>
    <w:basedOn w:val="CommentaireCar"/>
    <w:link w:val="Objetducommentaire"/>
    <w:uiPriority w:val="99"/>
    <w:semiHidden/>
    <w:rsid w:val="00444045"/>
    <w:rPr>
      <w:rFonts w:ascii="Arial" w:hAnsi="Arial"/>
      <w:b/>
      <w:bCs/>
      <w:lang w:eastAsia="en-US"/>
    </w:rPr>
  </w:style>
  <w:style w:type="paragraph" w:customStyle="1" w:styleId="Retraitcorpsdetexte2">
    <w:name w:val="Retrait corps de texte2"/>
    <w:basedOn w:val="Normal"/>
    <w:link w:val="BodyTextIndentCar"/>
    <w:rsid w:val="00A37A76"/>
    <w:pPr>
      <w:spacing w:before="0" w:after="0"/>
      <w:jc w:val="both"/>
    </w:pPr>
    <w:rPr>
      <w:rFonts w:eastAsia="Times New Roman" w:cs="Arial"/>
      <w:color w:val="000000"/>
      <w:sz w:val="14"/>
      <w:szCs w:val="14"/>
      <w:lang w:eastAsia="fr-FR"/>
    </w:rPr>
  </w:style>
  <w:style w:type="character" w:customStyle="1" w:styleId="BodyTextIndentCar">
    <w:name w:val="Body Text Indent Car"/>
    <w:basedOn w:val="Policepardfaut"/>
    <w:link w:val="Retraitcorpsdetexte2"/>
    <w:rsid w:val="00A37A76"/>
    <w:rPr>
      <w:rFonts w:ascii="Arial" w:eastAsia="Times New Roman" w:hAnsi="Arial" w:cs="Arial"/>
      <w:color w:val="000000"/>
      <w:sz w:val="14"/>
      <w:szCs w:val="14"/>
    </w:rPr>
  </w:style>
  <w:style w:type="character" w:customStyle="1" w:styleId="Titre4Car">
    <w:name w:val="Titre 4 Car"/>
    <w:basedOn w:val="Policepardfaut"/>
    <w:link w:val="Titre4"/>
    <w:uiPriority w:val="9"/>
    <w:semiHidden/>
    <w:rsid w:val="001B6AE9"/>
    <w:rPr>
      <w:rFonts w:asciiTheme="majorHAnsi" w:eastAsiaTheme="majorEastAsia" w:hAnsiTheme="majorHAnsi" w:cstheme="majorBidi"/>
      <w:b/>
      <w:bCs/>
      <w:i/>
      <w:iCs/>
      <w:color w:val="4F81BD" w:themeColor="accent1"/>
      <w:sz w:val="22"/>
      <w:szCs w:val="22"/>
      <w:lang w:eastAsia="en-US"/>
    </w:rPr>
  </w:style>
  <w:style w:type="paragraph" w:styleId="Rvision">
    <w:name w:val="Revision"/>
    <w:hidden/>
    <w:uiPriority w:val="99"/>
    <w:semiHidden/>
    <w:rsid w:val="001E46EC"/>
    <w:rPr>
      <w:rFonts w:ascii="Arial" w:hAnsi="Arial"/>
      <w:sz w:val="22"/>
      <w:szCs w:val="22"/>
      <w:lang w:eastAsia="en-US"/>
    </w:rPr>
  </w:style>
  <w:style w:type="character" w:customStyle="1" w:styleId="profilspanleft">
    <w:name w:val="profil_span_left"/>
    <w:basedOn w:val="Policepardfaut"/>
    <w:rsid w:val="004D72E4"/>
  </w:style>
  <w:style w:type="paragraph" w:styleId="Corpsdetexte">
    <w:name w:val="Body Text"/>
    <w:basedOn w:val="Normal"/>
    <w:link w:val="CorpsdetexteCar"/>
    <w:uiPriority w:val="99"/>
    <w:semiHidden/>
    <w:rsid w:val="00D7137F"/>
  </w:style>
  <w:style w:type="character" w:customStyle="1" w:styleId="CorpsdetexteCar">
    <w:name w:val="Corps de texte Car"/>
    <w:basedOn w:val="Policepardfaut"/>
    <w:link w:val="Corpsdetexte"/>
    <w:uiPriority w:val="99"/>
    <w:semiHidden/>
    <w:rsid w:val="00D7137F"/>
    <w:rPr>
      <w:rFonts w:ascii="Arial" w:hAnsi="Arial"/>
      <w:sz w:val="22"/>
      <w:szCs w:val="22"/>
      <w:lang w:eastAsia="en-US"/>
    </w:rPr>
  </w:style>
  <w:style w:type="paragraph" w:styleId="TM4">
    <w:name w:val="toc 4"/>
    <w:basedOn w:val="Normal"/>
    <w:next w:val="Normal"/>
    <w:autoRedefine/>
    <w:uiPriority w:val="39"/>
    <w:unhideWhenUsed/>
    <w:rsid w:val="00905B77"/>
    <w:pPr>
      <w:spacing w:before="0" w:after="100" w:line="276" w:lineRule="auto"/>
      <w:ind w:left="660"/>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905B77"/>
    <w:pPr>
      <w:spacing w:before="0" w:after="100" w:line="276" w:lineRule="auto"/>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905B77"/>
    <w:pPr>
      <w:spacing w:before="0" w:after="100" w:line="276" w:lineRule="auto"/>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905B77"/>
    <w:pPr>
      <w:spacing w:before="0" w:after="100" w:line="276" w:lineRule="auto"/>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905B77"/>
    <w:pPr>
      <w:spacing w:before="0" w:after="100" w:line="276" w:lineRule="auto"/>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905B77"/>
    <w:pPr>
      <w:spacing w:before="0" w:after="100" w:line="276" w:lineRule="auto"/>
      <w:ind w:left="1760"/>
    </w:pPr>
    <w:rPr>
      <w:rFonts w:asciiTheme="minorHAnsi" w:eastAsiaTheme="minorEastAsia" w:hAnsiTheme="minorHAnsi" w:cstheme="minorBidi"/>
      <w:lang w:eastAsia="fr-FR"/>
    </w:rPr>
  </w:style>
  <w:style w:type="character" w:styleId="Lienhypertextesuivivisit">
    <w:name w:val="FollowedHyperlink"/>
    <w:basedOn w:val="Policepardfaut"/>
    <w:uiPriority w:val="99"/>
    <w:semiHidden/>
    <w:unhideWhenUsed/>
    <w:rsid w:val="003F6A78"/>
    <w:rPr>
      <w:color w:val="800080" w:themeColor="followedHyperlink"/>
      <w:u w:val="single"/>
    </w:rPr>
  </w:style>
  <w:style w:type="character" w:styleId="Textedelespacerserv">
    <w:name w:val="Placeholder Text"/>
    <w:basedOn w:val="Policepardfaut"/>
    <w:uiPriority w:val="99"/>
    <w:semiHidden/>
    <w:rsid w:val="003402BF"/>
    <w:rPr>
      <w:color w:val="808080"/>
    </w:rPr>
  </w:style>
  <w:style w:type="paragraph" w:customStyle="1" w:styleId="corpsdetexte0">
    <w:name w:val="corps de texte"/>
    <w:basedOn w:val="Normal"/>
    <w:link w:val="corpsdetexteCar0"/>
    <w:qFormat/>
    <w:rsid w:val="00316167"/>
    <w:pPr>
      <w:spacing w:before="0"/>
      <w:jc w:val="both"/>
    </w:pPr>
    <w:rPr>
      <w:rFonts w:ascii="Franklin Gothic Book" w:eastAsia="Cambria" w:hAnsi="Franklin Gothic Book" w:cs="Arial"/>
      <w:sz w:val="20"/>
      <w:szCs w:val="20"/>
    </w:rPr>
  </w:style>
  <w:style w:type="character" w:customStyle="1" w:styleId="corpsdetexteCar0">
    <w:name w:val="corps de texte Car"/>
    <w:basedOn w:val="Policepardfaut"/>
    <w:link w:val="corpsdetexte0"/>
    <w:rsid w:val="00316167"/>
    <w:rPr>
      <w:rFonts w:ascii="Franklin Gothic Book" w:eastAsia="Cambria" w:hAnsi="Franklin Gothic Book" w:cs="Arial"/>
      <w:lang w:eastAsia="en-US"/>
    </w:rPr>
  </w:style>
  <w:style w:type="paragraph" w:customStyle="1" w:styleId="titre20">
    <w:name w:val="titre2"/>
    <w:basedOn w:val="Normal"/>
    <w:autoRedefine/>
    <w:qFormat/>
    <w:rsid w:val="00797524"/>
    <w:pPr>
      <w:spacing w:before="240"/>
      <w:outlineLvl w:val="1"/>
    </w:pPr>
    <w:rPr>
      <w:rFonts w:ascii="Franklin Gothic Heavy" w:eastAsia="Times New Roman" w:hAnsi="Franklin Gothic Heavy" w:cs="Arial"/>
      <w:bCs/>
      <w:sz w:val="20"/>
      <w:szCs w:val="20"/>
      <w:lang w:eastAsia="ar-SA"/>
    </w:rPr>
  </w:style>
  <w:style w:type="table" w:customStyle="1" w:styleId="Grilledutableau1">
    <w:name w:val="Grille du tableau1"/>
    <w:basedOn w:val="TableauNormal"/>
    <w:next w:val="Grilledutableau"/>
    <w:uiPriority w:val="59"/>
    <w:rsid w:val="00316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0C5A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A6A"/>
    <w:pPr>
      <w:widowControl w:val="0"/>
      <w:autoSpaceDE w:val="0"/>
      <w:autoSpaceDN w:val="0"/>
      <w:spacing w:before="62" w:after="0"/>
    </w:pPr>
    <w:rPr>
      <w:rFonts w:ascii="Segoe UI" w:eastAsia="Segoe UI" w:hAnsi="Segoe UI" w:cs="Segoe UI"/>
      <w:lang w:val="en-US"/>
    </w:rPr>
  </w:style>
  <w:style w:type="character" w:customStyle="1" w:styleId="highlight">
    <w:name w:val="highlight"/>
    <w:basedOn w:val="Policepardfaut"/>
    <w:rsid w:val="002B73E8"/>
  </w:style>
  <w:style w:type="character" w:customStyle="1" w:styleId="Titre1Car">
    <w:name w:val="Titre 1 Car"/>
    <w:basedOn w:val="Policepardfaut"/>
    <w:link w:val="Titre1"/>
    <w:uiPriority w:val="9"/>
    <w:rsid w:val="00EE1206"/>
    <w:rPr>
      <w:rFonts w:asciiTheme="majorHAnsi" w:eastAsiaTheme="majorEastAsia" w:hAnsiTheme="majorHAnsi" w:cstheme="majorBidi"/>
      <w:color w:val="365F91" w:themeColor="accent1" w:themeShade="BF"/>
      <w:sz w:val="32"/>
      <w:szCs w:val="32"/>
      <w:lang w:eastAsia="en-US"/>
    </w:rPr>
  </w:style>
  <w:style w:type="paragraph" w:styleId="En-ttedetabledesmatires">
    <w:name w:val="TOC Heading"/>
    <w:basedOn w:val="Titre1"/>
    <w:next w:val="Normal"/>
    <w:uiPriority w:val="39"/>
    <w:unhideWhenUsed/>
    <w:qFormat/>
    <w:rsid w:val="00EE1206"/>
    <w:pPr>
      <w:spacing w:line="259" w:lineRule="auto"/>
      <w:outlineLvl w:val="9"/>
    </w:pPr>
    <w:rPr>
      <w:lang w:eastAsia="fr-FR"/>
    </w:rPr>
  </w:style>
  <w:style w:type="character" w:customStyle="1" w:styleId="Mentionnonrsolue1">
    <w:name w:val="Mention non résolue1"/>
    <w:basedOn w:val="Policepardfaut"/>
    <w:uiPriority w:val="99"/>
    <w:semiHidden/>
    <w:unhideWhenUsed/>
    <w:rsid w:val="00EE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6111">
      <w:bodyDiv w:val="1"/>
      <w:marLeft w:val="0"/>
      <w:marRight w:val="0"/>
      <w:marTop w:val="0"/>
      <w:marBottom w:val="0"/>
      <w:divBdr>
        <w:top w:val="none" w:sz="0" w:space="0" w:color="auto"/>
        <w:left w:val="none" w:sz="0" w:space="0" w:color="auto"/>
        <w:bottom w:val="none" w:sz="0" w:space="0" w:color="auto"/>
        <w:right w:val="none" w:sz="0" w:space="0" w:color="auto"/>
      </w:divBdr>
    </w:div>
    <w:div w:id="279534110">
      <w:bodyDiv w:val="1"/>
      <w:marLeft w:val="0"/>
      <w:marRight w:val="0"/>
      <w:marTop w:val="0"/>
      <w:marBottom w:val="0"/>
      <w:divBdr>
        <w:top w:val="none" w:sz="0" w:space="0" w:color="auto"/>
        <w:left w:val="none" w:sz="0" w:space="0" w:color="auto"/>
        <w:bottom w:val="none" w:sz="0" w:space="0" w:color="auto"/>
        <w:right w:val="none" w:sz="0" w:space="0" w:color="auto"/>
      </w:divBdr>
      <w:divsChild>
        <w:div w:id="1758018564">
          <w:marLeft w:val="125"/>
          <w:marRight w:val="0"/>
          <w:marTop w:val="0"/>
          <w:marBottom w:val="0"/>
          <w:divBdr>
            <w:top w:val="none" w:sz="0" w:space="0" w:color="auto"/>
            <w:left w:val="none" w:sz="0" w:space="0" w:color="auto"/>
            <w:bottom w:val="none" w:sz="0" w:space="0" w:color="auto"/>
            <w:right w:val="none" w:sz="0" w:space="0" w:color="auto"/>
          </w:divBdr>
          <w:divsChild>
            <w:div w:id="118115453">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 w:id="737943785">
      <w:bodyDiv w:val="1"/>
      <w:marLeft w:val="0"/>
      <w:marRight w:val="0"/>
      <w:marTop w:val="0"/>
      <w:marBottom w:val="0"/>
      <w:divBdr>
        <w:top w:val="none" w:sz="0" w:space="0" w:color="auto"/>
        <w:left w:val="none" w:sz="0" w:space="0" w:color="auto"/>
        <w:bottom w:val="none" w:sz="0" w:space="0" w:color="auto"/>
        <w:right w:val="none" w:sz="0" w:space="0" w:color="auto"/>
      </w:divBdr>
      <w:divsChild>
        <w:div w:id="1704358918">
          <w:marLeft w:val="0"/>
          <w:marRight w:val="0"/>
          <w:marTop w:val="0"/>
          <w:marBottom w:val="0"/>
          <w:divBdr>
            <w:top w:val="none" w:sz="0" w:space="0" w:color="auto"/>
            <w:left w:val="none" w:sz="0" w:space="0" w:color="auto"/>
            <w:bottom w:val="none" w:sz="0" w:space="0" w:color="auto"/>
            <w:right w:val="none" w:sz="0" w:space="0" w:color="auto"/>
          </w:divBdr>
          <w:divsChild>
            <w:div w:id="496655759">
              <w:marLeft w:val="0"/>
              <w:marRight w:val="0"/>
              <w:marTop w:val="0"/>
              <w:marBottom w:val="0"/>
              <w:divBdr>
                <w:top w:val="none" w:sz="0" w:space="0" w:color="auto"/>
                <w:left w:val="none" w:sz="0" w:space="0" w:color="auto"/>
                <w:bottom w:val="none" w:sz="0" w:space="0" w:color="auto"/>
                <w:right w:val="none" w:sz="0" w:space="0" w:color="auto"/>
              </w:divBdr>
              <w:divsChild>
                <w:div w:id="908729423">
                  <w:marLeft w:val="0"/>
                  <w:marRight w:val="0"/>
                  <w:marTop w:val="0"/>
                  <w:marBottom w:val="0"/>
                  <w:divBdr>
                    <w:top w:val="none" w:sz="0" w:space="0" w:color="auto"/>
                    <w:left w:val="none" w:sz="0" w:space="0" w:color="auto"/>
                    <w:bottom w:val="none" w:sz="0" w:space="0" w:color="auto"/>
                    <w:right w:val="none" w:sz="0" w:space="0" w:color="auto"/>
                  </w:divBdr>
                  <w:divsChild>
                    <w:div w:id="245918292">
                      <w:marLeft w:val="0"/>
                      <w:marRight w:val="0"/>
                      <w:marTop w:val="0"/>
                      <w:marBottom w:val="0"/>
                      <w:divBdr>
                        <w:top w:val="none" w:sz="0" w:space="0" w:color="auto"/>
                        <w:left w:val="none" w:sz="0" w:space="0" w:color="auto"/>
                        <w:bottom w:val="none" w:sz="0" w:space="0" w:color="auto"/>
                        <w:right w:val="none" w:sz="0" w:space="0" w:color="auto"/>
                      </w:divBdr>
                      <w:divsChild>
                        <w:div w:id="146092446">
                          <w:marLeft w:val="0"/>
                          <w:marRight w:val="0"/>
                          <w:marTop w:val="0"/>
                          <w:marBottom w:val="0"/>
                          <w:divBdr>
                            <w:top w:val="none" w:sz="0" w:space="0" w:color="auto"/>
                            <w:left w:val="none" w:sz="0" w:space="0" w:color="auto"/>
                            <w:bottom w:val="none" w:sz="0" w:space="0" w:color="auto"/>
                            <w:right w:val="none" w:sz="0" w:space="0" w:color="auto"/>
                          </w:divBdr>
                          <w:divsChild>
                            <w:div w:id="1875072543">
                              <w:marLeft w:val="0"/>
                              <w:marRight w:val="1"/>
                              <w:marTop w:val="0"/>
                              <w:marBottom w:val="0"/>
                              <w:divBdr>
                                <w:top w:val="none" w:sz="0" w:space="0" w:color="auto"/>
                                <w:left w:val="none" w:sz="0" w:space="0" w:color="auto"/>
                                <w:bottom w:val="none" w:sz="0" w:space="0" w:color="auto"/>
                                <w:right w:val="none" w:sz="0" w:space="0" w:color="auto"/>
                              </w:divBdr>
                              <w:divsChild>
                                <w:div w:id="483740660">
                                  <w:marLeft w:val="0"/>
                                  <w:marRight w:val="300"/>
                                  <w:marTop w:val="0"/>
                                  <w:marBottom w:val="0"/>
                                  <w:divBdr>
                                    <w:top w:val="none" w:sz="0" w:space="0" w:color="auto"/>
                                    <w:left w:val="none" w:sz="0" w:space="0" w:color="auto"/>
                                    <w:bottom w:val="none" w:sz="0" w:space="0" w:color="auto"/>
                                    <w:right w:val="none" w:sz="0" w:space="0" w:color="auto"/>
                                  </w:divBdr>
                                  <w:divsChild>
                                    <w:div w:id="254678745">
                                      <w:marLeft w:val="300"/>
                                      <w:marRight w:val="300"/>
                                      <w:marTop w:val="100"/>
                                      <w:marBottom w:val="100"/>
                                      <w:divBdr>
                                        <w:top w:val="single" w:sz="6" w:space="2" w:color="000000"/>
                                        <w:left w:val="single" w:sz="6" w:space="4" w:color="000000"/>
                                        <w:bottom w:val="single" w:sz="6" w:space="11" w:color="000000"/>
                                        <w:right w:val="single" w:sz="6" w:space="4" w:color="000000"/>
                                      </w:divBdr>
                                    </w:div>
                                  </w:divsChild>
                                </w:div>
                              </w:divsChild>
                            </w:div>
                          </w:divsChild>
                        </w:div>
                      </w:divsChild>
                    </w:div>
                  </w:divsChild>
                </w:div>
              </w:divsChild>
            </w:div>
          </w:divsChild>
        </w:div>
      </w:divsChild>
    </w:div>
    <w:div w:id="940182999">
      <w:bodyDiv w:val="1"/>
      <w:marLeft w:val="0"/>
      <w:marRight w:val="0"/>
      <w:marTop w:val="0"/>
      <w:marBottom w:val="0"/>
      <w:divBdr>
        <w:top w:val="none" w:sz="0" w:space="0" w:color="auto"/>
        <w:left w:val="none" w:sz="0" w:space="0" w:color="auto"/>
        <w:bottom w:val="none" w:sz="0" w:space="0" w:color="auto"/>
        <w:right w:val="none" w:sz="0" w:space="0" w:color="auto"/>
      </w:divBdr>
    </w:div>
    <w:div w:id="944071094">
      <w:bodyDiv w:val="1"/>
      <w:marLeft w:val="0"/>
      <w:marRight w:val="0"/>
      <w:marTop w:val="0"/>
      <w:marBottom w:val="0"/>
      <w:divBdr>
        <w:top w:val="none" w:sz="0" w:space="0" w:color="auto"/>
        <w:left w:val="none" w:sz="0" w:space="0" w:color="auto"/>
        <w:bottom w:val="none" w:sz="0" w:space="0" w:color="auto"/>
        <w:right w:val="none" w:sz="0" w:space="0" w:color="auto"/>
      </w:divBdr>
    </w:div>
    <w:div w:id="1792478447">
      <w:bodyDiv w:val="1"/>
      <w:marLeft w:val="0"/>
      <w:marRight w:val="0"/>
      <w:marTop w:val="0"/>
      <w:marBottom w:val="0"/>
      <w:divBdr>
        <w:top w:val="none" w:sz="0" w:space="0" w:color="auto"/>
        <w:left w:val="none" w:sz="0" w:space="0" w:color="auto"/>
        <w:bottom w:val="none" w:sz="0" w:space="0" w:color="auto"/>
        <w:right w:val="none" w:sz="0" w:space="0" w:color="auto"/>
      </w:divBdr>
      <w:divsChild>
        <w:div w:id="1247610250">
          <w:marLeft w:val="0"/>
          <w:marRight w:val="0"/>
          <w:marTop w:val="0"/>
          <w:marBottom w:val="0"/>
          <w:divBdr>
            <w:top w:val="none" w:sz="0" w:space="0" w:color="auto"/>
            <w:left w:val="none" w:sz="0" w:space="0" w:color="auto"/>
            <w:bottom w:val="none" w:sz="0" w:space="0" w:color="auto"/>
            <w:right w:val="none" w:sz="0" w:space="0" w:color="auto"/>
          </w:divBdr>
        </w:div>
        <w:div w:id="54015515">
          <w:marLeft w:val="0"/>
          <w:marRight w:val="0"/>
          <w:marTop w:val="0"/>
          <w:marBottom w:val="0"/>
          <w:divBdr>
            <w:top w:val="none" w:sz="0" w:space="0" w:color="auto"/>
            <w:left w:val="none" w:sz="0" w:space="0" w:color="auto"/>
            <w:bottom w:val="none" w:sz="0" w:space="0" w:color="auto"/>
            <w:right w:val="none" w:sz="0" w:space="0" w:color="auto"/>
          </w:divBdr>
        </w:div>
        <w:div w:id="1034623764">
          <w:marLeft w:val="0"/>
          <w:marRight w:val="0"/>
          <w:marTop w:val="0"/>
          <w:marBottom w:val="0"/>
          <w:divBdr>
            <w:top w:val="none" w:sz="0" w:space="0" w:color="auto"/>
            <w:left w:val="none" w:sz="0" w:space="0" w:color="auto"/>
            <w:bottom w:val="none" w:sz="0" w:space="0" w:color="auto"/>
            <w:right w:val="none" w:sz="0" w:space="0" w:color="auto"/>
          </w:divBdr>
        </w:div>
      </w:divsChild>
    </w:div>
    <w:div w:id="1954171311">
      <w:bodyDiv w:val="1"/>
      <w:marLeft w:val="0"/>
      <w:marRight w:val="0"/>
      <w:marTop w:val="0"/>
      <w:marBottom w:val="0"/>
      <w:divBdr>
        <w:top w:val="none" w:sz="0" w:space="0" w:color="auto"/>
        <w:left w:val="none" w:sz="0" w:space="0" w:color="auto"/>
        <w:bottom w:val="none" w:sz="0" w:space="0" w:color="auto"/>
        <w:right w:val="none" w:sz="0" w:space="0" w:color="auto"/>
      </w:divBdr>
      <w:divsChild>
        <w:div w:id="2054034166">
          <w:marLeft w:val="0"/>
          <w:marRight w:val="0"/>
          <w:marTop w:val="0"/>
          <w:marBottom w:val="0"/>
          <w:divBdr>
            <w:top w:val="none" w:sz="0" w:space="0" w:color="auto"/>
            <w:left w:val="none" w:sz="0" w:space="0" w:color="auto"/>
            <w:bottom w:val="none" w:sz="0" w:space="0" w:color="auto"/>
            <w:right w:val="none" w:sz="0" w:space="0" w:color="auto"/>
          </w:divBdr>
        </w:div>
        <w:div w:id="1721248467">
          <w:marLeft w:val="0"/>
          <w:marRight w:val="0"/>
          <w:marTop w:val="0"/>
          <w:marBottom w:val="0"/>
          <w:divBdr>
            <w:top w:val="none" w:sz="0" w:space="0" w:color="auto"/>
            <w:left w:val="none" w:sz="0" w:space="0" w:color="auto"/>
            <w:bottom w:val="none" w:sz="0" w:space="0" w:color="auto"/>
            <w:right w:val="none" w:sz="0" w:space="0" w:color="auto"/>
          </w:divBdr>
        </w:div>
        <w:div w:id="84377163">
          <w:marLeft w:val="0"/>
          <w:marRight w:val="0"/>
          <w:marTop w:val="0"/>
          <w:marBottom w:val="0"/>
          <w:divBdr>
            <w:top w:val="none" w:sz="0" w:space="0" w:color="auto"/>
            <w:left w:val="none" w:sz="0" w:space="0" w:color="auto"/>
            <w:bottom w:val="none" w:sz="0" w:space="0" w:color="auto"/>
            <w:right w:val="none" w:sz="0" w:space="0" w:color="auto"/>
          </w:divBdr>
        </w:div>
        <w:div w:id="608465570">
          <w:marLeft w:val="0"/>
          <w:marRight w:val="0"/>
          <w:marTop w:val="0"/>
          <w:marBottom w:val="0"/>
          <w:divBdr>
            <w:top w:val="none" w:sz="0" w:space="0" w:color="auto"/>
            <w:left w:val="none" w:sz="0" w:space="0" w:color="auto"/>
            <w:bottom w:val="none" w:sz="0" w:space="0" w:color="auto"/>
            <w:right w:val="none" w:sz="0" w:space="0" w:color="auto"/>
          </w:divBdr>
        </w:div>
        <w:div w:id="123666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8751\AppData\Local\Temp\Gabarit_Word_Bleu-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A3300-60EA-4FBF-A722-B5203485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Gabarit_Word_Bleu-1</Template>
  <TotalTime>0</TotalTime>
  <Pages>32</Pages>
  <Words>13216</Words>
  <Characters>72689</Characters>
  <Application>Microsoft Office Word</Application>
  <DocSecurity>0</DocSecurity>
  <Lines>605</Lines>
  <Paragraphs>171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Saisir votre texte</dc:creator>
  <cp:lastModifiedBy>Cedric LIMOUSIN</cp:lastModifiedBy>
  <cp:revision>2</cp:revision>
  <cp:lastPrinted>2017-10-26T10:01:00Z</cp:lastPrinted>
  <dcterms:created xsi:type="dcterms:W3CDTF">2022-08-04T23:51:00Z</dcterms:created>
  <dcterms:modified xsi:type="dcterms:W3CDTF">2022-08-04T23:51:00Z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2022-07-04T23:45:09Z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5498e4f0-ee02-4557-95ba-5f88e017faaa</vt:lpwstr>
  </property>
  <property fmtid="{D5CDD505-2E9C-101B-9397-08002B2CF9AE}" pid="8" name="MSIP_Label_2d26f538-337a-4593-a7e6-123667b1a538_ContentBits">
    <vt:lpwstr>0</vt:lpwstr>
  </property>
</Properties>
</file>